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James Green, Deborah Gordon</w:t>
        <w:br/>
        <w:t>From: Michael Walker, Engagement Manager</w:t>
        <w:br/>
        <w:t>Re: Getting the Brown and Sons cost work moving</w:t>
      </w:r>
    </w:p>
    <w:p>
      <w:r>
        <w:t>We are kicking this one off. Our start date is June 25, 2009, and I want everyone pointed the same direction from the outset. The job is straightforward to state and harder to do: help Brown and Sons find real, defensible operating cost to take out, and hand them a plan their own managers can run. Every number we put in front of the client has to trace back to their own records, so the current-state baseline for Brown and Sons is the foundation everything else stands on. If the baseline is soft, none of the savings will hold up, so we treat it as the first priority, not a warm-up. Keep in mind through all of this that we are not the ones who will run the changes; our job is to leave the client able to, which means the evidence behind each recommendation matters as much as the recommendation itself.</w:t>
      </w:r>
    </w:p>
    <w:p>
      <w:pPr>
        <w:pStyle w:val="Heading2"/>
      </w:pPr>
      <w:r>
        <w:t>The lines of work</w:t>
      </w:r>
    </w:p>
    <w:p>
      <w:r>
        <w:t>Five workstreams. The first four run in parallel once the data is in hand; the fifth runs alongside them the whole way through:</w:t>
      </w:r>
    </w:p>
    <w:p>
      <w:pPr>
        <w:pStyle w:val="ListBullet"/>
      </w:pPr>
      <w:r>
        <w:t>Cost baseline. James Green owns this. Build the current-state cost model from the general ledger and headcount extracts, reconciled to the trial balance so it is theirs, not ours. This is the gate the rest of the work passes through, so it goes first and it goes carefully.</w:t>
      </w:r>
    </w:p>
    <w:p>
      <w:pPr>
        <w:pStyle w:val="ListBullet"/>
      </w:pPr>
      <w:r>
        <w:t>Third-party and procurement spend. Map the vendor base, the top contracts, and where spend is fragmented across suppliers that could be consolidated. Get the contract terms, not just the spend totals; the savings live in the terms.</w:t>
      </w:r>
    </w:p>
    <w:p>
      <w:pPr>
        <w:pStyle w:val="ListBullet"/>
      </w:pPr>
      <w:r>
        <w:t>Operations and process. Walk the main operating processes with the people who run them, not from a desk. Look for rework, duplication, and handoffs that cost more than they return, and note where a process is expensive for a reason worth keeping.</w:t>
      </w:r>
    </w:p>
    <w:p>
      <w:pPr>
        <w:pStyle w:val="ListBullet"/>
      </w:pPr>
      <w:r>
        <w:t>Overhead and organization. Spans, layers, and the cost of the support functions relative to the work they carry. Keep this factual; it is the part clients feel most, so the evidence has to be clean.</w:t>
      </w:r>
    </w:p>
    <w:p>
      <w:pPr>
        <w:pStyle w:val="ListBullet"/>
      </w:pPr>
      <w:r>
        <w:t>Synthesis and business case. Deborah Gordon pulls the findings into a sized, prioritized case as they land, so the write-up is not a scramble at the end. Each opportunity gets a number, a basis for that number, and a rough sense of how hard it is to capture.</w:t>
      </w:r>
    </w:p>
    <w:p>
      <w:pPr>
        <w:pStyle w:val="Heading2"/>
      </w:pPr>
      <w:r>
        <w:t>The first two weeks</w:t>
      </w:r>
    </w:p>
    <w:p>
      <w:r>
        <w:t>Near-term, in order:</w:t>
      </w:r>
    </w:p>
    <w:p>
      <w:pPr>
        <w:pStyle w:val="ListBullet"/>
      </w:pPr>
      <w:r>
        <w:t>Data request out to Sandra Frazier's team by the end of this week, with a named owner on their side for each item so nothing falls between people.</w:t>
      </w:r>
    </w:p>
    <w:p>
      <w:pPr>
        <w:pStyle w:val="ListBullet"/>
      </w:pPr>
      <w:r>
        <w:t>Kickoff session with client leadership to confirm scope, access, and the read-out cadence, and to agree who signs off on what.</w:t>
      </w:r>
    </w:p>
    <w:p>
      <w:pPr>
        <w:pStyle w:val="ListBullet"/>
      </w:pPr>
      <w:r>
        <w:t>Interview schedule confirmed with the operations leads before we need them, so we are not chasing calendars mid-analysis.</w:t>
      </w:r>
    </w:p>
    <w:p>
      <w:pPr>
        <w:pStyle w:val="ListBullet"/>
      </w:pPr>
      <w:r>
        <w:t>Baseline data loaded and a first reconciliation run against the trial balance, so we know early if anything is missing.</w:t>
      </w:r>
    </w:p>
    <w:p>
      <w:pPr>
        <w:pStyle w:val="ListBullet"/>
      </w:pPr>
      <w:r>
        <w:t>A weekly status note to the client office, short and plain, starting the first full week.</w:t>
      </w:r>
    </w:p>
    <w:p>
      <w:r>
        <w:t>A few working norms so we do not have to relitigate them later. Keep your files clean and dated as you go; the synthesis is far easier when the trail behind each number is obvious, and the client will ask how a figure was built, so we should always be able to show them. When something you find looks material, bring it to me early; do not quietly polish it for weeks and surprise us all at the read-out. And treat the client's data with the care it deserves; it stays on our systems and goes no further. I am glad to be getting into this one. If anything here looks off to you, say so now, while we can still change it, and come find me with questions any time.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Cost Transformation for Brown and Sons</dc:title>
  <dc:subject/>
  <dc:creator>Michael Walker</dc:creator>
  <cp:keywords/>
  <dc:description>generated by python-docx</dc:description>
  <cp:lastModifiedBy>Michael Walker</cp:lastModifiedBy>
  <cp:revision>1</cp:revision>
  <dcterms:created xsi:type="dcterms:W3CDTF">2009-06-28T09:00:00Z</dcterms:created>
  <dcterms:modified xsi:type="dcterms:W3CDTF">2009-06-28T09:00:00Z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