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Deborah Gordon, Brenda Clayton</w:t>
      </w:r>
    </w:p>
    <w:p>
      <w:r>
        <w:t>From: Cynthia Hart</w:t>
      </w:r>
    </w:p>
    <w:p>
      <w:r>
        <w:t>Subject: Kickoff, footprint rationalization for Brown and Sons</w:t>
      </w:r>
    </w:p>
    <w:p>
      <w:r>
        <w:t>We start the footprint work for Brown and Sons on July 2, 2017, and I want the three of us reading from the same page before we do. What Brown and Sons has asked is straightforward to state: they want to know whether the sites they run today are the right number, in the right places, at the right size, and if not, what to change and in what order. Everything below serves that one question. Sandra Frazier, their VP Finance, is our sponsor and point of contact, and she has offered her operations and finance staff for the data we will need.</w:t>
      </w:r>
    </w:p>
    <w:p>
      <w:r>
        <w:t>One thing on the client relationship. Sandra Frazier told me plainly that her team is stretched, so our standing rule is to consolidate every request, send it once, and keep the log tight enough that no one is asked for the same file twice. Much of the site-level cost and headcount data is sensitive; it stays inside the four of us and does not travel.</w:t>
      </w:r>
    </w:p>
    <w:p>
      <w:pPr>
        <w:pStyle w:val="Heading2"/>
      </w:pPr>
      <w:r>
        <w:t>The lines of work</w:t>
      </w:r>
    </w:p>
    <w:p>
      <w:pPr>
        <w:pStyle w:val="ListBullet"/>
      </w:pPr>
      <w:r>
        <w:t>Baseline. I pull together the site register, the cost to run each location, and the capacity figures, and I keep a record of where every file came from. When the client questions a number, I want to show the source rather than rebuild it.</w:t>
      </w:r>
    </w:p>
    <w:p>
      <w:pPr>
        <w:pStyle w:val="ListBullet"/>
      </w:pPr>
      <w:r>
        <w:t>Cost to serve. Brenda Clayton builds the view of how volume flows across the sites and what it costs to serve each customer from where we serve them now. This is where overlap and slack become visible.</w:t>
      </w:r>
    </w:p>
    <w:p>
      <w:pPr>
        <w:pStyle w:val="ListBullet"/>
      </w:pPr>
      <w:r>
        <w:t>Options. Brenda Clayton models the alternatives: which sites anchor the network and which do work another site could absorb. Deborah Gordon and I hold the site and cost definitions steady, because an option is worthless if two of us are counting a site differently.</w:t>
      </w:r>
    </w:p>
    <w:p>
      <w:pPr>
        <w:pStyle w:val="ListBullet"/>
      </w:pPr>
      <w:r>
        <w:t>Recommendation. Last, and resting on the first three. Deborah Gordon drafts the target footprint and the order of moves; Brenda Clayton tests the numbers underneath before anything goes to the client.</w:t>
      </w:r>
    </w:p>
    <w:p>
      <w:pPr>
        <w:pStyle w:val="Heading2"/>
      </w:pPr>
      <w:r>
        <w:t>Before the first client session</w:t>
      </w:r>
    </w:p>
    <w:p>
      <w:pPr>
        <w:pStyle w:val="ListBullet"/>
      </w:pPr>
      <w:r>
        <w:t>I send one consolidated data request this week and open a log of what we have asked for and what has come back, so that no one on Sandra Frazier's staff is asked twice for the same file.</w:t>
      </w:r>
    </w:p>
    <w:p>
      <w:pPr>
        <w:pStyle w:val="ListBullet"/>
      </w:pPr>
      <w:r>
        <w:t>Brenda Clayton fixes the definitions for a site, a cost, and utilization before any figure is calculated, so we are not renegotiating what a number means in month three.</w:t>
      </w:r>
    </w:p>
    <w:p>
      <w:pPr>
        <w:pStyle w:val="ListBullet"/>
      </w:pPr>
      <w:r>
        <w:t>Deborah Gordon schedules walkthroughs of the two largest sites and drafts the questions for us to review together beforehand.</w:t>
      </w:r>
    </w:p>
    <w:p>
      <w:pPr>
        <w:pStyle w:val="ListBullet"/>
      </w:pPr>
      <w:r>
        <w:t>The three of us meet at the end of next week to compare what the data shows so far, gaps included.</w:t>
      </w:r>
    </w:p>
    <w:p>
      <w:r>
        <w:t>One scheduling note. Sandra Frazier travels through the back half of next month, so I have front-loaded the data request and the two walkthroughs to land while she is available to unblock access. If the smaller sites slip, they will not hold up the baseline; the two largest carry most of the cost, and those are the ones I am protecting the schedule for.</w:t>
      </w:r>
    </w:p>
    <w:p>
      <w:r>
        <w:t>At this stage there is nothing the client would read as a finding, because we have none: we have a scope, a plan, and a data request going out the door. I will keep the log current so that we always know where each request stands for Brown and Sons. If anything here looks wrong to either of you, say so now, while it costs nothing to change.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Footprint Rationalization for Brown and Sons</dc:title>
  <dc:subject/>
  <dc:creator>Cynthia Hart</dc:creator>
  <cp:keywords/>
  <dc:description>generated by python-docx</dc:description>
  <cp:lastModifiedBy>Cynthia Hart</cp:lastModifiedBy>
  <cp:revision>1</cp:revision>
  <dcterms:created xsi:type="dcterms:W3CDTF">2017-07-05T09:00:00Z</dcterms:created>
  <dcterms:modified xsi:type="dcterms:W3CDTF">2017-07-05T09:00:00Z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