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Footprint Rationalization</w:t>
      </w:r>
    </w:p>
    <w:p>
      <w:pPr>
        <w:pStyle w:val="ListBullet"/>
      </w:pPr>
      <w:r>
        <w:t>Client of record: Brown and Sons</w:t>
      </w:r>
    </w:p>
    <w:p>
      <w:pPr>
        <w:pStyle w:val="ListBullet"/>
      </w:pPr>
      <w:r>
        <w:t>Prepared for the finance sponsor at Brown and Sons</w:t>
      </w:r>
    </w:p>
    <w:p>
      <w:pPr>
        <w:pStyle w:val="ListBullet"/>
      </w:pPr>
      <w:r>
        <w:t>Prepared by Cynthia Hart, with Deborah Gordon and Brenda Clayton</w:t>
      </w:r>
    </w:p>
    <w:p>
      <w:pPr>
        <w:pStyle w:val="ListBullet"/>
      </w:pPr>
      <w:r>
        <w:t>Reporting period: the four weeks ending with this report</w:t>
      </w:r>
    </w:p>
    <w:p>
      <w:pPr>
        <w:pStyle w:val="ListBullet"/>
      </w:pPr>
      <w:r>
        <w:t>Engagement roughly at its midpoint</w:t>
      </w:r>
    </w:p>
    <w:p>
      <w:pPr>
        <w:pStyle w:val="Heading2"/>
      </w:pPr>
      <w:r>
        <w:t>Where things stand</w:t>
      </w:r>
    </w:p>
    <w:p>
      <w:r>
        <w:t>The engagement passed its midpoint this period and remains on plan. The footprint baseline is complete for all six locations, the cost-to-serve analysis is substantially finished, and we have started turning both into a first set of consolidation options. Measured against the engagement budget of $34,500, we are a little under half spent, which tracks the work performed rather than the calendar; the heavier analytical hours fall in the next two periods, and we planned the budget around that. Nothing we have found points to a change in the fee or the timeline.</w:t>
      </w:r>
    </w:p>
    <w:p>
      <w:r>
        <w:t>The short version, for anyone reading only this paragraph: the diagnostic phase is essentially done, the picture is consistent with what we expected at the outset, and the work now shifts from measuring the current footprint to modeling better ones. We are not recommending anything yet, and will not until the options are built and tested.</w:t>
      </w:r>
    </w:p>
    <w:p>
      <w:pPr>
        <w:pStyle w:val="Heading2"/>
      </w:pPr>
      <w:r>
        <w:t>Completed this period</w:t>
      </w:r>
    </w:p>
    <w:p>
      <w:pPr>
        <w:pStyle w:val="ListBullet"/>
      </w:pPr>
      <w:r>
        <w:t>Closed out the site baseline for all six locations, including the two smallest, whose lease and square-footage data is now normalized and reconciled.</w:t>
      </w:r>
    </w:p>
    <w:p>
      <w:pPr>
        <w:pStyle w:val="ListBullet"/>
      </w:pPr>
      <w:r>
        <w:t>Finished the cost-to-serve view and confirmed that service cost varies more by which site ships than by what the customer buys.</w:t>
      </w:r>
    </w:p>
    <w:p>
      <w:pPr>
        <w:pStyle w:val="ListBullet"/>
      </w:pPr>
      <w:r>
        <w:t>Completed the site walkthroughs; Deborah Gordon has now seen every location and documented how work moves through each.</w:t>
      </w:r>
    </w:p>
    <w:p>
      <w:pPr>
        <w:pStyle w:val="ListBullet"/>
      </w:pPr>
      <w:r>
        <w:t>Reconciled the site-level operating costs to the general ledger with your finance team, so that the baseline numbers match the figures your own reporting produces.</w:t>
      </w:r>
    </w:p>
    <w:p>
      <w:pPr>
        <w:pStyle w:val="ListBullet"/>
      </w:pPr>
      <w:r>
        <w:t>Closed the freight range on the outlying site once the missing lane detail came in, so there are no open data items on our side.</w:t>
      </w:r>
    </w:p>
    <w:p>
      <w:r>
        <w:t>None of these results has left the team as a recommendation. They are inputs to the options work, and we have labeled them that way on every internal exhibit so that no one mistakes a measurement for a conclusion.</w:t>
      </w:r>
    </w:p>
    <w:p>
      <w:pPr>
        <w:pStyle w:val="Heading2"/>
      </w:pPr>
      <w:r>
        <w:t>What comes next</w:t>
      </w:r>
    </w:p>
    <w:p>
      <w:pPr>
        <w:pStyle w:val="ListBullet"/>
      </w:pPr>
      <w:r>
        <w:t>Brenda Clayton develops the consolidation options into two or three comparable scenarios, each with its cost to execute, its annual saving, and its effect on service.</w:t>
      </w:r>
    </w:p>
    <w:p>
      <w:pPr>
        <w:pStyle w:val="ListBullet"/>
      </w:pPr>
      <w:r>
        <w:t>Deborah Gordon drafts the options memo and the supporting exhibits for review inside the team before anything reaches you.</w:t>
      </w:r>
    </w:p>
    <w:p>
      <w:pPr>
        <w:pStyle w:val="ListBullet"/>
      </w:pPr>
      <w:r>
        <w:t>We test each scenario against a normal year of volume, so that a single unusual quarter does not tilt the recommendation.</w:t>
      </w:r>
    </w:p>
    <w:p>
      <w:pPr>
        <w:pStyle w:val="ListBullet"/>
      </w:pPr>
      <w:r>
        <w:t>We prepare the exhibits so that each scenario reads on a single page: cost to execute, annual saving, service effect, and the sites it touches, side by side.</w:t>
      </w:r>
    </w:p>
    <w:p>
      <w:pPr>
        <w:pStyle w:val="ListBullet"/>
      </w:pPr>
      <w:r>
        <w:t>We bring a first, clearly labeled set of options to the next working session, rather than a single answer.</w:t>
      </w:r>
    </w:p>
    <w:p>
      <w:r>
        <w:t>That last point is deliberate. A footprint decision moves people and sites, and you should see the trade-offs behind a recommendation before it narrows to one. We would rather spend a working session weighing the scenarios together than present a finished answer you have not had a hand in shaping.</w:t>
      </w:r>
    </w:p>
    <w:p>
      <w:pPr>
        <w:pStyle w:val="Heading2"/>
      </w:pPr>
      <w:r>
        <w:t>Risks and things we are watching</w:t>
      </w:r>
    </w:p>
    <w:p>
      <w:pPr>
        <w:pStyle w:val="ListBullet"/>
      </w:pPr>
      <w:r>
        <w:t>Volume seasonality. The last year included one quarter of unusually low volume. We are restating the utilization figures with and without that quarter so that no scenario leans on an unrepresentative period; if the ranking shifts when it is removed, you will hear it from us first.</w:t>
      </w:r>
    </w:p>
    <w:p>
      <w:pPr>
        <w:pStyle w:val="ListBullet"/>
      </w:pPr>
      <w:r>
        <w:t>The outlying site. The lane-level freight detail arrived late and is now in hand, but any further gaps there would move the cost-to-serve figure for that location, and with it the case for keeping the site.</w:t>
      </w:r>
    </w:p>
    <w:p>
      <w:pPr>
        <w:pStyle w:val="ListBullet"/>
      </w:pPr>
      <w:r>
        <w:t>Scope discipline. Two of your managers have raised questions about headcount planning that sit just outside the footprint scope. We have noted them and will flag any that would change the fee before doing the work, not after.</w:t>
      </w:r>
    </w:p>
    <w:p>
      <w:r>
        <w:t>In short, the work is where it should be at the halfway mark, and the coming period turns analysis into options you can weigh. If the next period runs as planned, you will have the options in hand well before the final month, which leaves room to consider them without pressure. I will keep this report on the same monthly cadence, and the request log stays current for anyone on the Brown and Sons side who wants to see what is outstanding.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Footprint Rationalization for Brown and Sons</dc:title>
  <dc:subject/>
  <dc:creator>Cynthia Hart</dc:creator>
  <cp:keywords/>
  <dc:description>generated by python-docx</dc:description>
  <cp:lastModifiedBy>Cynthia Hart</cp:lastModifiedBy>
  <cp:revision>1</cp:revision>
  <dcterms:created xsi:type="dcterms:W3CDTF">2017-10-11T09:00:00Z</dcterms:created>
  <dcterms:modified xsi:type="dcterms:W3CDTF">2017-10-11T09:00:00Z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