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Cost Transformation, Brown and Sons</w:t>
      </w:r>
    </w:p>
    <w:p>
      <w:r>
        <w:t>Prepared by Deborah Gordon, Associate, Calderwood Partners. Working session held at the client's offices. These minutes record the session at the midpoint of the engagement. Send corrections to this office within five business days; absent corrections they stand as the record.</w:t>
      </w:r>
    </w:p>
    <w:p>
      <w:pPr>
        <w:pStyle w:val="Heading2"/>
      </w:pPr>
      <w:r>
        <w:t>Attendees</w:t>
      </w:r>
    </w:p>
    <w:p>
      <w:pPr>
        <w:pStyle w:val="ListBullet"/>
      </w:pPr>
      <w:r>
        <w:t>Michael Walker, Engagement Manager, Calderwood Partners</w:t>
      </w:r>
    </w:p>
    <w:p>
      <w:pPr>
        <w:pStyle w:val="ListBullet"/>
      </w:pPr>
      <w:r>
        <w:t>James Green, Senior Associate, Calderwood Partners</w:t>
      </w:r>
    </w:p>
    <w:p>
      <w:pPr>
        <w:pStyle w:val="ListBullet"/>
      </w:pPr>
      <w:r>
        <w:t>Deborah Gordon, Associate, Calderwood Partners</w:t>
      </w:r>
    </w:p>
    <w:p>
      <w:pPr>
        <w:pStyle w:val="ListBullet"/>
      </w:pPr>
      <w:r>
        <w:t>Sandra Frazier, Vice President Finance, Brown and Sons</w:t>
      </w:r>
    </w:p>
    <w:p>
      <w:pPr>
        <w:pStyle w:val="Heading2"/>
      </w:pPr>
      <w:r>
        <w:t>Purpose</w:t>
      </w:r>
    </w:p>
    <w:p>
      <w:r>
        <w:t>The session reviewed the cost baseline and the first savings estimates for Brown and Sons at the midpoint of the work. The baseline is agreed. Discussion centered on the size of the procurement opportunity, the phasing of savings capture, and where the remaining data gaps sit. This note records what was discussed, what was decided, and who owns the follow-up.</w:t>
      </w:r>
    </w:p>
    <w:p>
      <w:pPr>
        <w:pStyle w:val="Heading2"/>
      </w:pPr>
      <w:r>
        <w:t>Discussion</w:t>
      </w:r>
    </w:p>
    <w:p>
      <w:r>
        <w:t>James Green walked the baseline. It reconciles to the general ledger and to headcount records. Two pools account for most of the identified opportunity: back-office overhead and fragmented third-party spend. The vendor consolidation estimate is the single largest line. Every figure in the baseline traces to a client source; no benchmark numbers are carried in.</w:t>
      </w:r>
    </w:p>
    <w:p>
      <w:r>
        <w:t>The overhead pool was reviewed next. The support functions cost more per unit of work than comparable operations, and the cost is concentrated in a small number of areas rather than spread evenly. No conclusion was drawn on the cause. The team will separate the part that reflects duplication across sites from the part that reflects deliberate choices before proposing any change.</w:t>
      </w:r>
    </w:p>
    <w:p>
      <w:r>
        <w:t>Sandra Frazier questioned the consolidation figure. It rests on spend data, not yet on contract terms. The number could move once the terms are read. Action agreed to pressure-test it against the top contracts before it is presented as firm.</w:t>
      </w:r>
    </w:p>
    <w:p>
      <w:r>
        <w:t>Mike walked the client through the two phasing options for capturing the savings. The first takes the low-risk procurement moves early and leaves the structural overhead changes for later. The second front-loads the larger structural change. Michael Walker noted the sequencing decision does not need to be made today and can wait until the estimates are validated. Sandra Frazier indicated a preference for the lower-risk sequence but did not commit.</w:t>
      </w:r>
    </w:p>
    <w:p>
      <w:r>
        <w:t>One risk was recorded. The two smaller sites carry thinner cost data than the main operation. The gaps are named. Closing them needs a few hours from the site controllers, not a new collection effort. Until closed, the savings attributed to those sites are provisional.</w:t>
      </w:r>
    </w:p>
    <w:p>
      <w:pPr>
        <w:pStyle w:val="Heading2"/>
      </w:pPr>
      <w:r>
        <w:t>Decisions</w:t>
      </w:r>
    </w:p>
    <w:p>
      <w:pPr>
        <w:pStyle w:val="ListBullet"/>
      </w:pPr>
      <w:r>
        <w:t>The baseline is accepted as the reference for the savings case.</w:t>
      </w:r>
    </w:p>
    <w:p>
      <w:pPr>
        <w:pStyle w:val="ListBullet"/>
      </w:pPr>
      <w:r>
        <w:t>The vendor consolidation figure is held as provisional pending the contract review.</w:t>
      </w:r>
    </w:p>
    <w:p>
      <w:pPr>
        <w:pStyle w:val="ListBullet"/>
      </w:pPr>
      <w:r>
        <w:t>The phasing decision is deferred to the midpoint read-out.</w:t>
      </w:r>
    </w:p>
    <w:p>
      <w:pPr>
        <w:pStyle w:val="Heading2"/>
      </w:pPr>
      <w:r>
        <w:t>Action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Action</w:t>
            </w:r>
          </w:p>
        </w:tc>
        <w:tc>
          <w:tcPr>
            <w:tcW w:type="dxa" w:w="2160"/>
          </w:tcPr>
          <w:p>
            <w:r>
              <w:rPr>
                <w:b/>
              </w:rPr>
              <w:t>Owner</w:t>
            </w:r>
          </w:p>
        </w:tc>
        <w:tc>
          <w:tcPr>
            <w:tcW w:type="dxa" w:w="2160"/>
          </w:tcPr>
          <w:p>
            <w:r>
              <w:rPr>
                <w:b/>
              </w:rPr>
              <w:t>Due</w:t>
            </w:r>
          </w:p>
        </w:tc>
      </w:tr>
      <w:tr>
        <w:tc>
          <w:tcPr>
            <w:tcW w:type="dxa" w:w="2160"/>
          </w:tcPr>
          <w:p>
            <w:r>
              <w:t>1</w:t>
            </w:r>
          </w:p>
        </w:tc>
        <w:tc>
          <w:tcPr>
            <w:tcW w:type="dxa" w:w="2160"/>
          </w:tcPr>
          <w:p>
            <w:r>
              <w:t>Provide contract summaries for the top vendors</w:t>
            </w:r>
          </w:p>
        </w:tc>
        <w:tc>
          <w:tcPr>
            <w:tcW w:type="dxa" w:w="2160"/>
          </w:tcPr>
          <w:p>
            <w:r>
              <w:t>Sandra Frazier</w:t>
            </w:r>
          </w:p>
        </w:tc>
        <w:tc>
          <w:tcPr>
            <w:tcW w:type="dxa" w:w="2160"/>
          </w:tcPr>
          <w:p>
            <w:r>
              <w:t>One week</w:t>
            </w:r>
          </w:p>
        </w:tc>
      </w:tr>
      <w:tr>
        <w:tc>
          <w:tcPr>
            <w:tcW w:type="dxa" w:w="2160"/>
          </w:tcPr>
          <w:p>
            <w:r>
              <w:t>2</w:t>
            </w:r>
          </w:p>
        </w:tc>
        <w:tc>
          <w:tcPr>
            <w:tcW w:type="dxa" w:w="2160"/>
          </w:tcPr>
          <w:p>
            <w:r>
              <w:t>Pressure-test the consolidation estimate against contract terms</w:t>
            </w:r>
          </w:p>
        </w:tc>
        <w:tc>
          <w:tcPr>
            <w:tcW w:type="dxa" w:w="2160"/>
          </w:tcPr>
          <w:p>
            <w:r>
              <w:t>James Green</w:t>
            </w:r>
          </w:p>
        </w:tc>
        <w:tc>
          <w:tcPr>
            <w:tcW w:type="dxa" w:w="2160"/>
          </w:tcPr>
          <w:p>
            <w:r>
              <w:t>Two weeks</w:t>
            </w:r>
          </w:p>
        </w:tc>
      </w:tr>
      <w:tr>
        <w:tc>
          <w:tcPr>
            <w:tcW w:type="dxa" w:w="2160"/>
          </w:tcPr>
          <w:p>
            <w:r>
              <w:t>3</w:t>
            </w:r>
          </w:p>
        </w:tc>
        <w:tc>
          <w:tcPr>
            <w:tcW w:type="dxa" w:w="2160"/>
          </w:tcPr>
          <w:p>
            <w:r>
              <w:t>Draft the phased business case</w:t>
            </w:r>
          </w:p>
        </w:tc>
        <w:tc>
          <w:tcPr>
            <w:tcW w:type="dxa" w:w="2160"/>
          </w:tcPr>
          <w:p>
            <w:r>
              <w:t>Deborah Gordon</w:t>
            </w:r>
          </w:p>
        </w:tc>
        <w:tc>
          <w:tcPr>
            <w:tcW w:type="dxa" w:w="2160"/>
          </w:tcPr>
          <w:p>
            <w:r>
              <w:t>Before next session</w:t>
            </w:r>
          </w:p>
        </w:tc>
      </w:tr>
      <w:tr>
        <w:tc>
          <w:tcPr>
            <w:tcW w:type="dxa" w:w="2160"/>
          </w:tcPr>
          <w:p>
            <w:r>
              <w:t>4</w:t>
            </w:r>
          </w:p>
        </w:tc>
        <w:tc>
          <w:tcPr>
            <w:tcW w:type="dxa" w:w="2160"/>
          </w:tcPr>
          <w:p>
            <w:r>
              <w:t>Confirm read-out date and attendees with Brown and Sons</w:t>
            </w:r>
          </w:p>
        </w:tc>
        <w:tc>
          <w:tcPr>
            <w:tcW w:type="dxa" w:w="2160"/>
          </w:tcPr>
          <w:p>
            <w:r>
              <w:t>Michael Walker</w:t>
            </w:r>
          </w:p>
        </w:tc>
        <w:tc>
          <w:tcPr>
            <w:tcW w:type="dxa" w:w="2160"/>
          </w:tcPr>
          <w:p>
            <w:r>
              <w:t>Next session</w:t>
            </w:r>
          </w:p>
        </w:tc>
      </w:tr>
      <w:tr>
        <w:tc>
          <w:tcPr>
            <w:tcW w:type="dxa" w:w="2160"/>
          </w:tcPr>
          <w:p>
            <w:r>
              <w:t>5</w:t>
            </w:r>
          </w:p>
        </w:tc>
        <w:tc>
          <w:tcPr>
            <w:tcW w:type="dxa" w:w="2160"/>
          </w:tcPr>
          <w:p>
            <w:r>
              <w:t>Close the cost-data gaps at the two smaller sites</w:t>
            </w:r>
          </w:p>
        </w:tc>
        <w:tc>
          <w:tcPr>
            <w:tcW w:type="dxa" w:w="2160"/>
          </w:tcPr>
          <w:p>
            <w:r>
              <w:t>James Green</w:t>
            </w:r>
          </w:p>
        </w:tc>
        <w:tc>
          <w:tcPr>
            <w:tcW w:type="dxa" w:w="2160"/>
          </w:tcPr>
          <w:p>
            <w:r>
              <w:t>Two weeks</w:t>
            </w:r>
          </w:p>
        </w:tc>
      </w:tr>
    </w:tbl>
    <w:p>
      <w:r>
        <w:t>Next session is the midpoint read-out to client leadership. Materials will circulate once the consolidation estimate is validated and the two site data gaps are closed. Deborah Gordon will send the draft business case ahead of the session so the discussion can open on the substance rather than on the numbers.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Cost Transformation for Brown and Sons</dc:title>
  <dc:subject/>
  <dc:creator>Deborah Gordon</dc:creator>
  <cp:keywords/>
  <dc:description>generated by python-docx</dc:description>
  <cp:lastModifiedBy>Deborah Gordon</cp:lastModifiedBy>
  <cp:revision>1</cp:revision>
  <dcterms:created xsi:type="dcterms:W3CDTF">2009-09-21T09:00:00Z</dcterms:created>
  <dcterms:modified xsi:type="dcterms:W3CDTF">2009-09-21T09:00:00Z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