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Cost Transformation for Brown and Sons</w:t>
      </w:r>
    </w:p>
    <w:p>
      <w:r>
        <w:t>Prepared by Deborah Gordon, Associate, Calderwood Partners. The working session was held at the client's offices. These minutes are the record of that session. Corrections are due to this office within five business days. Absent corrections, they stand.</w:t>
      </w:r>
    </w:p>
    <w:p>
      <w:pPr>
        <w:pStyle w:val="Heading2"/>
      </w:pPr>
      <w:r>
        <w:t>Present</w:t>
      </w:r>
    </w:p>
    <w:p>
      <w:pPr>
        <w:pStyle w:val="ListBullet"/>
      </w:pPr>
      <w:r>
        <w:t>Michael Walker, Engagement Manager, Calderwood Partners</w:t>
      </w:r>
    </w:p>
    <w:p>
      <w:pPr>
        <w:pStyle w:val="ListBullet"/>
      </w:pPr>
      <w:r>
        <w:t>James Green, Senior Associate, Calderwood Partners</w:t>
      </w:r>
    </w:p>
    <w:p>
      <w:pPr>
        <w:pStyle w:val="ListBullet"/>
      </w:pPr>
      <w:r>
        <w:t>Deborah Gordon, Associate, Calderwood Partners</w:t>
      </w:r>
    </w:p>
    <w:p>
      <w:pPr>
        <w:pStyle w:val="ListBullet"/>
      </w:pPr>
      <w:r>
        <w:t>Sandra Frazier, VP Finance, Brown and Sons</w:t>
      </w:r>
    </w:p>
    <w:p>
      <w:r>
        <w:t>The savings case is now firm enough to take to leadership. The session for Brown and Sons reviewed the validated numbers, fixed the shape of the phased plan, and set the tasks that close out the analysis. The client raised one point on phase-two staffing that the plan will now address before the read-out. This note records the discussion, the decisions, and the follow-up owners.</w:t>
      </w:r>
    </w:p>
    <w:p>
      <w:pPr>
        <w:pStyle w:val="Heading2"/>
      </w:pPr>
      <w:r>
        <w:t>Discussion</w:t>
      </w:r>
    </w:p>
    <w:p>
      <w:r>
        <w:t>The action items from the last session are closed. The contract review, the site-data gaps, and the draft business case are all done. The session opened on the substance.</w:t>
      </w:r>
    </w:p>
    <w:p>
      <w:r>
        <w:t>James Green presented the vendor-consolidation figure. It was tested against the top vendor contracts since the last session. The tested number held within a narrow band of the earlier estimate. It is firm enough to carry into the business case.</w:t>
      </w:r>
    </w:p>
    <w:p>
      <w:r>
        <w:t>The cost-data gaps at the two smaller sites are closed. The site controllers supplied the missing detail. The savings attributed to those sites are no longer provisional.</w:t>
      </w:r>
    </w:p>
    <w:p>
      <w:r>
        <w:t>The overhead analysis is complete. The excess sits in duplicated support roles across the sites, not in pay levels. The phase-two design consolidates those roles into shared support functions. The headcount effect was reviewed. It falls inside the range set at kickoff.</w:t>
      </w:r>
    </w:p>
    <w:p>
      <w:r>
        <w:t>Deborah Gordon presented the phased plan. Phase one takes the procurement moves. Phase two takes the structural overhead changes. Each phase carries a savings figure and a stated demand on client staff. Sandra Frazier confirmed the lower-risk sequence is acceptable to leadership.</w:t>
      </w:r>
    </w:p>
    <w:p>
      <w:r>
        <w:t>Sandra Frazier raised the phase-two staffing. The consolidation of support roles touches people at the two smaller sites. She asked that the plan name the affected roles before it goes to leadership, not after. The team agreed. The role-level detail is handled under the confidentiality convention set at kickoff and stays out of the deck.</w:t>
      </w:r>
    </w:p>
    <w:p>
      <w:r>
        <w:t>One item is open. The phase-two start depends on a client decision on shared services that sits above this engagement. Sandra Frazier will carry that decision to leadership alongside the read-out. Until it is made, the phase-two start is indicative only.</w:t>
      </w:r>
    </w:p>
    <w:p>
      <w:r>
        <w:t>Michael Walker set the remaining schedule. The read-out materials were outlined. They will present the baseline, the validated savings by pool, the phased plan, and the effort each phase requires. The deck stays short. Supporting detail goes to an appendix the client keeps. No open item blocks the read-out itself.</w:t>
      </w:r>
    </w:p>
    <w:p>
      <w:pPr>
        <w:pStyle w:val="Heading2"/>
      </w:pPr>
      <w:r>
        <w:t>Decisions</w:t>
      </w:r>
    </w:p>
    <w:p>
      <w:pPr>
        <w:pStyle w:val="ListBullet"/>
      </w:pPr>
      <w:r>
        <w:t>The vendor-consolidation figure is accepted as firm.</w:t>
      </w:r>
    </w:p>
    <w:p>
      <w:pPr>
        <w:pStyle w:val="ListBullet"/>
      </w:pPr>
      <w:r>
        <w:t>The phased plan proceeds on the lower-risk sequence, procurement first.</w:t>
      </w:r>
    </w:p>
    <w:p>
      <w:pPr>
        <w:pStyle w:val="ListBullet"/>
      </w:pPr>
      <w:r>
        <w:t>The two-site savings are treated as final.</w:t>
      </w:r>
    </w:p>
    <w:p>
      <w:pPr>
        <w:pStyle w:val="Heading2"/>
      </w:pPr>
      <w:r>
        <w:t>Follow-up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Action</w:t>
            </w:r>
          </w:p>
        </w:tc>
        <w:tc>
          <w:tcPr>
            <w:tcW w:type="dxa" w:w="2160"/>
          </w:tcPr>
          <w:p>
            <w:r>
              <w:rPr>
                <w:b/>
              </w:rPr>
              <w:t>Owner</w:t>
            </w:r>
          </w:p>
        </w:tc>
        <w:tc>
          <w:tcPr>
            <w:tcW w:type="dxa" w:w="2160"/>
          </w:tcPr>
          <w:p>
            <w:r>
              <w:rPr>
                <w:b/>
              </w:rPr>
              <w:t>Due</w:t>
            </w:r>
          </w:p>
        </w:tc>
      </w:tr>
      <w:tr>
        <w:tc>
          <w:tcPr>
            <w:tcW w:type="dxa" w:w="2160"/>
          </w:tcPr>
          <w:p>
            <w:r>
              <w:t>1</w:t>
            </w:r>
          </w:p>
        </w:tc>
        <w:tc>
          <w:tcPr>
            <w:tcW w:type="dxa" w:w="2160"/>
          </w:tcPr>
          <w:p>
            <w:r>
              <w:t>Finalize the phased business case for the read-out</w:t>
            </w:r>
          </w:p>
        </w:tc>
        <w:tc>
          <w:tcPr>
            <w:tcW w:type="dxa" w:w="2160"/>
          </w:tcPr>
          <w:p>
            <w:r>
              <w:t>Deborah Gordon</w:t>
            </w:r>
          </w:p>
        </w:tc>
        <w:tc>
          <w:tcPr>
            <w:tcW w:type="dxa" w:w="2160"/>
          </w:tcPr>
          <w:p>
            <w:r>
              <w:t>Before read-out</w:t>
            </w:r>
          </w:p>
        </w:tc>
      </w:tr>
      <w:tr>
        <w:tc>
          <w:tcPr>
            <w:tcW w:type="dxa" w:w="2160"/>
          </w:tcPr>
          <w:p>
            <w:r>
              <w:t>2</w:t>
            </w:r>
          </w:p>
        </w:tc>
        <w:tc>
          <w:tcPr>
            <w:tcW w:type="dxa" w:w="2160"/>
          </w:tcPr>
          <w:p>
            <w:r>
              <w:t>Prepare the phase-one implementation roadmap</w:t>
            </w:r>
          </w:p>
        </w:tc>
        <w:tc>
          <w:tcPr>
            <w:tcW w:type="dxa" w:w="2160"/>
          </w:tcPr>
          <w:p>
            <w:r>
              <w:t>James Green</w:t>
            </w:r>
          </w:p>
        </w:tc>
        <w:tc>
          <w:tcPr>
            <w:tcW w:type="dxa" w:w="2160"/>
          </w:tcPr>
          <w:p>
            <w:r>
              <w:t>One week</w:t>
            </w:r>
          </w:p>
        </w:tc>
      </w:tr>
      <w:tr>
        <w:tc>
          <w:tcPr>
            <w:tcW w:type="dxa" w:w="2160"/>
          </w:tcPr>
          <w:p>
            <w:r>
              <w:t>3</w:t>
            </w:r>
          </w:p>
        </w:tc>
        <w:tc>
          <w:tcPr>
            <w:tcW w:type="dxa" w:w="2160"/>
          </w:tcPr>
          <w:p>
            <w:r>
              <w:t>Confirm read-out date and attendees with Brown and Sons</w:t>
            </w:r>
          </w:p>
        </w:tc>
        <w:tc>
          <w:tcPr>
            <w:tcW w:type="dxa" w:w="2160"/>
          </w:tcPr>
          <w:p>
            <w:r>
              <w:t>Michael Walker</w:t>
            </w:r>
          </w:p>
        </w:tc>
        <w:tc>
          <w:tcPr>
            <w:tcW w:type="dxa" w:w="2160"/>
          </w:tcPr>
          <w:p>
            <w:r>
              <w:t>This week</w:t>
            </w:r>
          </w:p>
        </w:tc>
      </w:tr>
      <w:tr>
        <w:tc>
          <w:tcPr>
            <w:tcW w:type="dxa" w:w="2160"/>
          </w:tcPr>
          <w:p>
            <w:r>
              <w:t>4</w:t>
            </w:r>
          </w:p>
        </w:tc>
        <w:tc>
          <w:tcPr>
            <w:tcW w:type="dxa" w:w="2160"/>
          </w:tcPr>
          <w:p>
            <w:r>
              <w:t>Provide phase-one procurement contacts on the client side</w:t>
            </w:r>
          </w:p>
        </w:tc>
        <w:tc>
          <w:tcPr>
            <w:tcW w:type="dxa" w:w="2160"/>
          </w:tcPr>
          <w:p>
            <w:r>
              <w:t>Sandra Frazier</w:t>
            </w:r>
          </w:p>
        </w:tc>
        <w:tc>
          <w:tcPr>
            <w:tcW w:type="dxa" w:w="2160"/>
          </w:tcPr>
          <w:p>
            <w:r>
              <w:t>One week</w:t>
            </w:r>
          </w:p>
        </w:tc>
      </w:tr>
      <w:tr>
        <w:tc>
          <w:tcPr>
            <w:tcW w:type="dxa" w:w="2160"/>
          </w:tcPr>
          <w:p>
            <w:r>
              <w:t>5</w:t>
            </w:r>
          </w:p>
        </w:tc>
        <w:tc>
          <w:tcPr>
            <w:tcW w:type="dxa" w:w="2160"/>
          </w:tcPr>
          <w:p>
            <w:r>
              <w:t>Take the shared-services decision to leadership</w:t>
            </w:r>
          </w:p>
        </w:tc>
        <w:tc>
          <w:tcPr>
            <w:tcW w:type="dxa" w:w="2160"/>
          </w:tcPr>
          <w:p>
            <w:r>
              <w:t>Sandra Frazier</w:t>
            </w:r>
          </w:p>
        </w:tc>
        <w:tc>
          <w:tcPr>
            <w:tcW w:type="dxa" w:w="2160"/>
          </w:tcPr>
          <w:p>
            <w:r>
              <w:t>Before read-out</w:t>
            </w:r>
          </w:p>
        </w:tc>
      </w:tr>
      <w:tr>
        <w:tc>
          <w:tcPr>
            <w:tcW w:type="dxa" w:w="2160"/>
          </w:tcPr>
          <w:p>
            <w:r>
              <w:t>6</w:t>
            </w:r>
          </w:p>
        </w:tc>
        <w:tc>
          <w:tcPr>
            <w:tcW w:type="dxa" w:w="2160"/>
          </w:tcPr>
          <w:p>
            <w:r>
              <w:t>Name the phase-two roles affected in the plan</w:t>
            </w:r>
          </w:p>
        </w:tc>
        <w:tc>
          <w:tcPr>
            <w:tcW w:type="dxa" w:w="2160"/>
          </w:tcPr>
          <w:p>
            <w:r>
              <w:t>Deborah Gordon</w:t>
            </w:r>
          </w:p>
        </w:tc>
        <w:tc>
          <w:tcPr>
            <w:tcW w:type="dxa" w:w="2160"/>
          </w:tcPr>
          <w:p>
            <w:r>
              <w:t>Before read-out</w:t>
            </w:r>
          </w:p>
        </w:tc>
      </w:tr>
    </w:tbl>
    <w:p>
      <w:r>
        <w:t>Next session is the final read-out to leadership. The business case and roadmap circulate beforehand. Corrections to these minutes are due within five business days.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Cost Transformation for Brown and Sons</dc:title>
  <dc:subject/>
  <dc:creator>Deborah Gordon</dc:creator>
  <cp:keywords/>
  <dc:description>generated by python-docx</dc:description>
  <cp:lastModifiedBy>Deborah Gordon</cp:lastModifiedBy>
  <cp:revision>1</cp:revision>
  <dcterms:created xsi:type="dcterms:W3CDTF">2009-12-18T09:00:00Z</dcterms:created>
  <dcterms:modified xsi:type="dcterms:W3CDTF">2009-12-18T09:00:00Z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