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footprint rationalization for Brown and Sons, held at the client's offices. Minutes taken by Brenda Clayton.</w:t>
      </w:r>
    </w:p>
    <w:p>
      <w:pPr>
        <w:pStyle w:val="Heading2"/>
      </w:pPr>
      <w:r>
        <w:t>Present</w:t>
      </w:r>
    </w:p>
    <w:p>
      <w:pPr>
        <w:pStyle w:val="ListBullet"/>
      </w:pPr>
      <w:r>
        <w:t>Brenda Clayton, Consultant</w:t>
      </w:r>
    </w:p>
    <w:p>
      <w:pPr>
        <w:pStyle w:val="ListBullet"/>
      </w:pPr>
      <w:r>
        <w:t>Cynthia Hart, Research Associate</w:t>
      </w:r>
    </w:p>
    <w:p>
      <w:pPr>
        <w:pStyle w:val="ListBullet"/>
      </w:pPr>
      <w:r>
        <w:t>Deborah Gordon, Senior Associate</w:t>
      </w:r>
    </w:p>
    <w:p>
      <w:pPr>
        <w:pStyle w:val="ListBullet"/>
      </w:pPr>
      <w:r>
        <w:t>Sandra Frazier, VP Finance, Brown and Sons</w:t>
      </w:r>
    </w:p>
    <w:p>
      <w:pPr>
        <w:pStyle w:val="Heading2"/>
      </w:pPr>
      <w:r>
        <w:t>What we covered</w:t>
      </w:r>
    </w:p>
    <w:p>
      <w:r>
        <w:t>The session walked through the footprint baseline and the first read on cost to serve. We are far enough in to put real numbers against each site; the picture is not yet a set of recommendations, and I said so at the start.</w:t>
      </w:r>
    </w:p>
    <w:p>
      <w:r>
        <w:t>Cynthia Hart opened with the state of the data. The site register, operating costs, and capacity figures are in and reconciled for every location except the two smallest distribution points, where the lease and square-footage detail arrived late and is still being normalized. She was careful to keep what is confirmed apart from what is still being cleaned, and nothing discussed today rests on the two sites that remain open.</w:t>
      </w:r>
    </w:p>
    <w:p>
      <w:r>
        <w:t>I presented the baseline. Two of the sites carry capacity well above what current volume uses, and a third sits close to the demand it serves but far from the others, so freight in and out of it runs high. The cost to serve a customer varies more by which site ships to them than by what they buy, which is the sort of result that points a footprint decision toward the network rather than the product line. I would put weight on the utilization figures; they reconcile to the capacity data Cynthia Hart holds.</w:t>
      </w:r>
    </w:p>
    <w:p>
      <w:r>
        <w:t>One number still carries a qualification. The freight cost on the outlying site depends on a lane-level breakdown we hold only in part, so the figure is stated within a range until the rest arrives. Sandra Frazier agreed to have her logistics group pull the missing lanes.</w:t>
      </w:r>
    </w:p>
    <w:p>
      <w:r>
        <w:t>Deborah Gordon reported on the site walkthroughs. She has now seen four of the six locations and can describe how work moves through each. Two points are already clear: the two high-capacity sites duplicate a good deal of each other's function, and the outlying site was built for a customer base that has since shifted. She will finish the last two walkthroughs before we commit any of this to an options memo.</w:t>
      </w:r>
    </w:p>
    <w:p>
      <w:r>
        <w:t>Sandra Frazier's main question was whether a decision on the outlying site could be reached without waiting on the full lane-level freight data. My answer was that the direction is already visible but the size of the gap is not, and that a recommendation on that site should not go forward until the range is closed. She accepted that and committed the logistics group to the missing lanes. We also agreed that the two smallest distribution points, whatever the baseline finally shows, are unlikely to change the shape of the recommendation, so they will not hold up the options work.</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Pull the missing freight lanes for the outlying site and close the cost-to-serve range</w:t>
            </w:r>
          </w:p>
        </w:tc>
        <w:tc>
          <w:tcPr>
            <w:tcW w:type="dxa" w:w="2880"/>
          </w:tcPr>
          <w:p>
            <w:r>
              <w:t>Sandra Frazier</w:t>
            </w:r>
          </w:p>
        </w:tc>
        <w:tc>
          <w:tcPr>
            <w:tcW w:type="dxa" w:w="2880"/>
          </w:tcPr>
          <w:p>
            <w:r>
              <w:t>Within two weeks</w:t>
            </w:r>
          </w:p>
        </w:tc>
      </w:tr>
      <w:tr>
        <w:tc>
          <w:tcPr>
            <w:tcW w:type="dxa" w:w="2880"/>
          </w:tcPr>
          <w:p>
            <w:r>
              <w:t>Normalize the lease and square-footage data for the two smallest sites</w:t>
            </w:r>
          </w:p>
        </w:tc>
        <w:tc>
          <w:tcPr>
            <w:tcW w:type="dxa" w:w="2880"/>
          </w:tcPr>
          <w:p>
            <w:r>
              <w:t>Cynthia Hart</w:t>
            </w:r>
          </w:p>
        </w:tc>
        <w:tc>
          <w:tcPr>
            <w:tcW w:type="dxa" w:w="2880"/>
          </w:tcPr>
          <w:p>
            <w:r>
              <w:t>Before the next session</w:t>
            </w:r>
          </w:p>
        </w:tc>
      </w:tr>
      <w:tr>
        <w:tc>
          <w:tcPr>
            <w:tcW w:type="dxa" w:w="2880"/>
          </w:tcPr>
          <w:p>
            <w:r>
              <w:t>Finish the remaining two site walkthroughs</w:t>
            </w:r>
          </w:p>
        </w:tc>
        <w:tc>
          <w:tcPr>
            <w:tcW w:type="dxa" w:w="2880"/>
          </w:tcPr>
          <w:p>
            <w:r>
              <w:t>Deborah Gordon</w:t>
            </w:r>
          </w:p>
        </w:tc>
        <w:tc>
          <w:tcPr>
            <w:tcW w:type="dxa" w:w="2880"/>
          </w:tcPr>
          <w:p>
            <w:r>
              <w:t>Before the next session</w:t>
            </w:r>
          </w:p>
        </w:tc>
      </w:tr>
      <w:tr>
        <w:tc>
          <w:tcPr>
            <w:tcW w:type="dxa" w:w="2880"/>
          </w:tcPr>
          <w:p>
            <w:r>
              <w:t>Draft the first cut of consolidation options from the baseline</w:t>
            </w:r>
          </w:p>
        </w:tc>
        <w:tc>
          <w:tcPr>
            <w:tcW w:type="dxa" w:w="2880"/>
          </w:tcPr>
          <w:p>
            <w:r>
              <w:t>Brenda Clayton</w:t>
            </w:r>
          </w:p>
        </w:tc>
        <w:tc>
          <w:tcPr>
            <w:tcW w:type="dxa" w:w="2880"/>
          </w:tcPr>
          <w:p>
            <w:r>
              <w:t>Before the next session</w:t>
            </w:r>
          </w:p>
        </w:tc>
      </w:tr>
      <w:tr>
        <w:tc>
          <w:tcPr>
            <w:tcW w:type="dxa" w:w="2880"/>
          </w:tcPr>
          <w:p>
            <w:r>
              <w:t>Set the next working session once the items above are in hand</w:t>
            </w:r>
          </w:p>
        </w:tc>
        <w:tc>
          <w:tcPr>
            <w:tcW w:type="dxa" w:w="2880"/>
          </w:tcPr>
          <w:p>
            <w:r>
              <w:t>Brenda Clayton</w:t>
            </w:r>
          </w:p>
        </w:tc>
        <w:tc>
          <w:tcPr>
            <w:tcW w:type="dxa" w:w="2880"/>
          </w:tcPr>
          <w:p>
            <w:r>
              <w:t>On completion of the above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Footprint Rationalization for Brown and Sons</dc:title>
  <dc:subject/>
  <dc:creator>Brenda Clayton</dc:creator>
  <cp:keywords/>
  <dc:description>generated by python-docx</dc:description>
  <cp:lastModifiedBy>Brenda Clayton</cp:lastModifiedBy>
  <cp:revision>1</cp:revision>
  <dcterms:created xsi:type="dcterms:W3CDTF">2017-09-21T09:00:00Z</dcterms:created>
  <dcterms:modified xsi:type="dcterms:W3CDTF">2017-09-21T09:00:00Z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