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Notes from the working session on the footprint rationalization for Brown and Sons, at the client's offices. Recorded by Brenda Clayton.</w:t>
      </w:r>
    </w:p>
    <w:p>
      <w:pPr>
        <w:pStyle w:val="Heading2"/>
      </w:pPr>
      <w:r>
        <w:t>In attendance</w:t>
      </w:r>
    </w:p>
    <w:p>
      <w:pPr>
        <w:pStyle w:val="ListBullet"/>
      </w:pPr>
      <w:r>
        <w:t>Brenda Clayton, Consultant</w:t>
      </w:r>
    </w:p>
    <w:p>
      <w:pPr>
        <w:pStyle w:val="ListBullet"/>
      </w:pPr>
      <w:r>
        <w:t>Cynthia Hart, Research Associate</w:t>
      </w:r>
    </w:p>
    <w:p>
      <w:pPr>
        <w:pStyle w:val="ListBullet"/>
      </w:pPr>
      <w:r>
        <w:t>Deborah Gordon, Senior Associate</w:t>
      </w:r>
    </w:p>
    <w:p>
      <w:pPr>
        <w:pStyle w:val="ListBullet"/>
      </w:pPr>
      <w:r>
        <w:t>Sandra Frazier, VP Finance, Brown and Sons</w:t>
      </w:r>
    </w:p>
    <w:p>
      <w:pPr>
        <w:pStyle w:val="Heading2"/>
      </w:pPr>
      <w:r>
        <w:t>Discussion</w:t>
      </w:r>
    </w:p>
    <w:p>
      <w:r>
        <w:t>This session was about choosing among the consolidation options, not building them. The three scenarios have held up through testing, and the purpose today was to put them in front of Sandra Frazier and walk the trade-offs before we commit to a recommendation.</w:t>
      </w:r>
    </w:p>
    <w:p>
      <w:r>
        <w:t>Deborah Gordon presented the three. The first leaves the network as it is and takes cost out inside each site; it is the safest and saves the least. The second consolidates the two high-capacity sites into one and keeps the outlying location; it saves materially and concentrates risk in a single building. The third closes the outlying site and moves its volume to a better-placed location, which carries the largest saving and the most disruption. Each scenario is stated with its cost to execute, its annual saving, and its effect on service.</w:t>
      </w:r>
    </w:p>
    <w:p>
      <w:r>
        <w:t>I walked through how each scenario performs once we normalize for the one weak quarter in last year's volume. The ranking does not change when that quarter is set aside, which gives us some confidence that the recommendation will not rest on an unusual period. The second and third scenarios separate clearly from the first on saving; they separate from each other mainly on how much operational risk the company is willing to carry at one site. On cost to execute, the third is the heavier of the two by a clear margin, most of it one-time, and its payback runs longer than the second's even though the annual saving is larger.</w:t>
      </w:r>
    </w:p>
    <w:p>
      <w:r>
        <w:t>Cynthia Hart confirmed that every figure behind the three scenarios traces to a workpaper, and that the freight and utilization numbers are now complete for all six sites, including the lanes that were outstanding at the last session. There are no open data items on our side.</w:t>
      </w:r>
    </w:p>
    <w:p>
      <w:r>
        <w:t>Sandra Frazier's read is that the board will not accept the disruption of the third scenario without a clearer picture of the service risk during the move, and she asked us to develop that before we recommend. She was comfortable ruling out the first scenario as too modest for the effort. We agreed to bring a single recommendation to the final session, built around the second scenario, with the third kept as a costed alternative.</w:t>
      </w:r>
    </w:p>
    <w:p>
      <w:r>
        <w:t>Before we closed, Cynthia Hart raised the reporting question for the final deliverable: whether the board wants the full three-scenario comparison or only the recommendation with the alternative behind it. Sandra Frazier preferred the shorter form for the board and the full comparison as an appendix, so that the reasoning is on hand without crowding the decision. We will build the final pack to that shape.</w:t>
      </w:r>
    </w:p>
    <w:p>
      <w:pPr>
        <w:pStyle w:val="Heading2"/>
      </w:pPr>
      <w:r>
        <w:t>Actions</w:t>
      </w:r>
    </w:p>
    <w:p>
      <w:pPr>
        <w:pStyle w:val="ListBullet"/>
      </w:pPr>
      <w:r>
        <w:t>Deborah Gordon: draft the transition and service-risk plan for the consolidation move, covering the weeks when volume shifts. Before the final session.</w:t>
      </w:r>
    </w:p>
    <w:p>
      <w:pPr>
        <w:pStyle w:val="ListBullet"/>
      </w:pPr>
      <w:r>
        <w:t>Brenda Clayton: firm up the recommendation around the second scenario and cost the third as a documented alternative. Before the final session.</w:t>
      </w:r>
    </w:p>
    <w:p>
      <w:pPr>
        <w:pStyle w:val="ListBullet"/>
      </w:pPr>
      <w:r>
        <w:t>Cynthia Hart: assemble the final exhibit pack and confirm every figure ties to a workpaper. Before the final session.</w:t>
      </w:r>
    </w:p>
    <w:p>
      <w:pPr>
        <w:pStyle w:val="ListBullet"/>
      </w:pPr>
      <w:r>
        <w:t>Sandra Frazier: confirm the board's appetite for single-site risk so the recommendation can be pitched at the right level. Within two weeks.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Footprint Rationalization for Brown and Sons</dc:title>
  <dc:subject/>
  <dc:creator>Brenda Clayton</dc:creator>
  <cp:keywords/>
  <dc:description>generated by python-docx</dc:description>
  <cp:lastModifiedBy>Brenda Clayton</cp:lastModifiedBy>
  <cp:revision>1</cp:revision>
  <dcterms:created xsi:type="dcterms:W3CDTF">2017-12-20T09:00:00Z</dcterms:created>
  <dcterms:modified xsi:type="dcterms:W3CDTF">2017-12-20T09:00:00Z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