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Jason Torres, Mary Parker</w:t>
      </w:r>
    </w:p>
    <w:p>
      <w:r>
        <w:t>From: Daniel Leach</w:t>
      </w:r>
    </w:p>
    <w:p>
      <w:r>
        <w:t>Subject: Kickoff, post-merger integration for Carroll, Merritt and Williams</w:t>
      </w:r>
    </w:p>
    <w:p>
      <w:r>
        <w:t>This engagement begins on April 22, 2009. The objective is to help Carroll, Merritt and Williams integrate the two businesses now under one owner, and to do it in a form the client can act on within four months. In concrete terms, we owe them a single reconciled picture of the combined company as it stands, a cost baseline both sides accept, a target operating model for the functions in scope, and a prioritized plan for the opening period after integration. The letter has been signed, so we are working to that scope and not renegotiating it. I have set this memo out in the order I expect us to work, and each item below names who holds it.</w:t>
      </w:r>
    </w:p>
    <w:p>
      <w:pPr>
        <w:pStyle w:val="Heading2"/>
      </w:pPr>
      <w:r>
        <w:t>Areas of work</w:t>
      </w:r>
    </w:p>
    <w:p>
      <w:pPr>
        <w:pStyle w:val="ListBullet"/>
      </w:pPr>
      <w:r>
        <w:t>Consolidating the current picture. I will collect headcount, reporting lines, and the function maps from both legacy companies and reconcile them into one view. Mary Parker will source each file and record where it came from, so that we can show our working the first time the client questions a number.</w:t>
      </w:r>
    </w:p>
    <w:p>
      <w:pPr>
        <w:pStyle w:val="ListBullet"/>
      </w:pPr>
      <w:r>
        <w:t>Building the cost baseline. We build the combined cost base from the client's own management accounts, not from the deal model. Jason Torres will fix the definitions before we start, so that we are not renegotiating what a figure means in month three.</w:t>
      </w:r>
    </w:p>
    <w:p>
      <w:pPr>
        <w:pStyle w:val="ListBullet"/>
      </w:pPr>
      <w:r>
        <w:t>Designing the target operating model. Once the current picture is settled, we describe where each in-scope function should sit in the combined structure and what running it will require. This follows the consolidation; it does not run ahead of it.</w:t>
      </w:r>
    </w:p>
    <w:p>
      <w:pPr>
        <w:pStyle w:val="ListBullet"/>
      </w:pPr>
      <w:r>
        <w:t>Planning the first period. We sequence the decisions the client faces after integration, separating what cannot wait from what can. This is the last piece and it depends on the three above.</w:t>
      </w:r>
    </w:p>
    <w:p>
      <w:pPr>
        <w:pStyle w:val="Heading2"/>
      </w:pPr>
      <w:r>
        <w:t>Questions I want settled early</w:t>
      </w:r>
    </w:p>
    <w:p>
      <w:pPr>
        <w:pStyle w:val="ListBullet"/>
      </w:pPr>
      <w:r>
        <w:t>Which functions are actually in scope. The engagement letter names them in general terms. I want a written list agreed with the client before we map anything, so that we are not mapping a department we were never asked to touch.</w:t>
      </w:r>
    </w:p>
    <w:p>
      <w:pPr>
        <w:pStyle w:val="ListBullet"/>
      </w:pPr>
      <w:r>
        <w:t>Whose management accounts govern where the two companies disagree. Jason, this one is for you and the client to settle, not for me to assume.</w:t>
      </w:r>
    </w:p>
    <w:p>
      <w:pPr>
        <w:pStyle w:val="ListBullet"/>
      </w:pPr>
      <w:r>
        <w:t>How personnel-sensitive material reaches us. Some of what we need touches roles that are not yet settled. Mary Parker and I should agree a handling convention before we request any of it.</w:t>
      </w:r>
    </w:p>
    <w:p>
      <w:pPr>
        <w:pStyle w:val="Heading2"/>
      </w:pPr>
      <w:r>
        <w:t>Immediate steps</w:t>
      </w:r>
    </w:p>
    <w:p>
      <w:pPr>
        <w:pStyle w:val="ListBullet"/>
      </w:pPr>
      <w:r>
        <w:t>I will circulate a single consolidated data request this week and open a log of what we have asked for and received.</w:t>
      </w:r>
    </w:p>
    <w:p>
      <w:pPr>
        <w:pStyle w:val="ListBullet"/>
      </w:pPr>
      <w:r>
        <w:t>Mary Parker will set up the source register and the file naming we will use throughout the engagement.</w:t>
      </w:r>
    </w:p>
    <w:p>
      <w:pPr>
        <w:pStyle w:val="ListBullet"/>
      </w:pPr>
      <w:r>
        <w:t>Jason Torres will confirm the in-scope function list and the account definitions with Joseph Wallace, the client's Chief Financial Officer.</w:t>
      </w:r>
    </w:p>
    <w:p>
      <w:pPr>
        <w:pStyle w:val="ListBullet"/>
      </w:pPr>
      <w:r>
        <w:t>We hold our first internal working session at the end of next week. Bring what you have, including the gaps you have not closed.</w:t>
      </w:r>
    </w:p>
    <w:p>
      <w:r>
        <w:t>At this stage we send the client nothing that characterizes a result, because we do not have one. We have a scope, a team, and a data request going out this week. I will keep the request log current so that all three of us know at any point what is still outstanding.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Post-Merger Integration for Carroll, Merritt and Williams</dc:title>
  <dc:subject/>
  <dc:creator>Daniel Leach</dc:creator>
  <cp:keywords/>
  <dc:description>generated by python-docx</dc:description>
  <cp:lastModifiedBy>Daniel Leach</cp:lastModifiedBy>
  <cp:revision>1</cp:revision>
  <dcterms:created xsi:type="dcterms:W3CDTF">2009-04-25T09:00:00Z</dcterms:created>
  <dcterms:modified xsi:type="dcterms:W3CDTF">2009-04-25T09:00:00Z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