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w:t>
        <w:br/>
        <w:t>From: Deborah Jimenez</w:t>
        <w:br/>
        <w:t>Re: Kickoff, Carroll, Merritt and Williams customer retention program</w:t>
      </w:r>
    </w:p>
    <w:p>
      <w:r>
        <w:t>Work begins May 19, 2019. This memo sets what we are here to do and how the first weeks run. The client wants to know why it loses customers and wants a retention program it can run without us. Everything we produce serves those two ends. We hold to one definition of a lost customer and one of revenue at risk, agreed with the client in the first week, so that every number we report later reconciles to the same base.</w:t>
      </w:r>
    </w:p>
    <w:p>
      <w:pPr>
        <w:pStyle w:val="Heading2"/>
      </w:pPr>
      <w:r>
        <w:t>The four lines of work</w:t>
      </w:r>
    </w:p>
    <w:p>
      <w:pPr>
        <w:pStyle w:val="ListBullet"/>
      </w:pPr>
      <w:r>
        <w:t>Retention baseline. Mary Parker builds the customer and revenue picture by segment and by cohort, from the billing and contract history. This is the spine; the other three read against it.</w:t>
      </w:r>
    </w:p>
    <w:p>
      <w:pPr>
        <w:pStyle w:val="ListBullet"/>
      </w:pPr>
      <w:r>
        <w:t>Reasons for loss. Interviews with lost and at-risk accounts, read alongside the service, renewal, and billing records, to place why customers leave against when they leave.</w:t>
      </w:r>
    </w:p>
    <w:p>
      <w:pPr>
        <w:pStyle w:val="ListBullet"/>
      </w:pPr>
      <w:r>
        <w:t>Commercial levers. How renewal pricing, discounts, contract terms, and service levels bear on retention, and what each costs to move.</w:t>
      </w:r>
    </w:p>
    <w:p>
      <w:pPr>
        <w:pStyle w:val="ListBullet"/>
      </w:pPr>
      <w:r>
        <w:t>Program design. The operating model: who owns retention, the early signals, the actions when they fire, and the order of standing it up.</w:t>
      </w:r>
    </w:p>
    <w:p>
      <w:r>
        <w:t>One risk is visible already. The customer records sit across billing and the CRM, and the two do not always agree on when an account left or what it was worth. If we build the baseline on a source the client's own people distrust, the findings will not hold. So Mary Parker reconciles the two sources first and has the client sign off on the reconciled base before any finding rests on it. Nothing else starts until that base is agreed.</w:t>
      </w:r>
    </w:p>
    <w:p>
      <w:r>
        <w:t>A second risk is access. The people we most need to interview, the account managers who hold the mid-sized accounts, have the least free time. If we chase them one at a time, the interview phase slips. So we book the full set through the sponsor's office in a single pass, with a short fixed set of questions, so that each conversation runs to about thirty minutes and no one is asked back.</w:t>
      </w:r>
    </w:p>
    <w:p>
      <w:r>
        <w:t>Joseph Wallace is our sponsor and our single point of contact for access and decisions. Data requests and interview scheduling route through his office. I will keep the request log for Carroll, Merritt and Williams current and circulate it weekly so we all see what is outstanding on their side.</w:t>
      </w:r>
    </w:p>
    <w:p>
      <w:r>
        <w:t>Two cadences run through the work. The team reconciles progress against the plan each week, internally. We meet the client at the close of each phase rather than on a fixed date, so that a session has a decision in front of it and not only a status to recite. Between those, the request log carries the running detail.</w:t>
      </w:r>
    </w:p>
    <w:p>
      <w:pPr>
        <w:pStyle w:val="Heading2"/>
      </w:pPr>
      <w:r>
        <w:t>The first two weeks</w:t>
      </w:r>
    </w:p>
    <w:p>
      <w:pPr>
        <w:pStyle w:val="ListBullet"/>
      </w:pPr>
      <w:r>
        <w:t>Agree the definitions of a lost customer and revenue at risk with the client, in writing.</w:t>
      </w:r>
    </w:p>
    <w:p>
      <w:pPr>
        <w:pStyle w:val="ListBullet"/>
      </w:pPr>
      <w:r>
        <w:t>Pull three years of billing, contract, and renewal history, plus the CRM export of account status and reasons for loss.</w:t>
      </w:r>
    </w:p>
    <w:p>
      <w:pPr>
        <w:pStyle w:val="ListBullet"/>
      </w:pPr>
      <w:r>
        <w:t>Reconcile billing against the CRM and flag every account where the two disagree.</w:t>
      </w:r>
    </w:p>
    <w:p>
      <w:pPr>
        <w:pStyle w:val="ListBullet"/>
      </w:pPr>
      <w:r>
        <w:t>Draft the interview list, lost accounts, at-risk accounts, and the account managers who hold them, and clear it with the sponsor's office before anyone is contacted.</w:t>
      </w:r>
    </w:p>
    <w:p>
      <w:pPr>
        <w:pStyle w:val="ListBullet"/>
      </w:pPr>
      <w:r>
        <w:t>Stand up the weekly internal check-in and the request log.</w:t>
      </w:r>
    </w:p>
    <w:p>
      <w:r>
        <w:t>I will send the data request and the interview list to the client this week and confirm dates once their finance and sales staff come back to us. Flag anything that looks wrong before it goes across, not after we have sent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Customer Retention Program for Carroll, Merritt and Williams</dc:title>
  <dc:subject/>
  <dc:creator>Deborah Jimenez</dc:creator>
  <cp:keywords/>
  <dc:description>generated by python-docx</dc:description>
  <cp:lastModifiedBy>Deborah Jimenez</cp:lastModifiedBy>
  <cp:revision>1</cp:revision>
  <dcterms:created xsi:type="dcterms:W3CDTF">2019-05-22T09:00:00Z</dcterms:created>
  <dcterms:modified xsi:type="dcterms:W3CDTF">2019-05-22T09:00:00Z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