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Working session on the post-merger integration for Carroll, Merritt and Williams. Minutes taken by Jason Torres.</w:t>
      </w:r>
    </w:p>
    <w:p>
      <w:pPr>
        <w:pStyle w:val="Heading2"/>
      </w:pPr>
      <w:r>
        <w:t>Present</w:t>
      </w:r>
    </w:p>
    <w:p>
      <w:pPr>
        <w:pStyle w:val="ListBullet"/>
      </w:pPr>
      <w:r>
        <w:t>Jason Torres, Principal</w:t>
      </w:r>
    </w:p>
    <w:p>
      <w:pPr>
        <w:pStyle w:val="ListBullet"/>
      </w:pPr>
      <w:r>
        <w:t>Daniel Leach, Research Associate</w:t>
      </w:r>
    </w:p>
    <w:p>
      <w:pPr>
        <w:pStyle w:val="ListBullet"/>
      </w:pPr>
      <w:r>
        <w:t>Mary Parker, Research Associate</w:t>
      </w:r>
    </w:p>
    <w:p>
      <w:pPr>
        <w:pStyle w:val="ListBullet"/>
      </w:pPr>
      <w:r>
        <w:t>Joseph Wallace, Chief Financial Officer, Carroll, Merritt and Williams</w:t>
      </w:r>
    </w:p>
    <w:p>
      <w:pPr>
        <w:pStyle w:val="Heading2"/>
      </w:pPr>
      <w:r>
        <w:t>Matters discussed</w:t>
      </w:r>
    </w:p>
    <w:p>
      <w:r>
        <w:t>The session was called to review the consolidated picture and the state of the cost baseline. We are far enough in to have a combined view of the two organizations and a first cut of the combined cost base. We are not yet at findings, and I said as much at the start so that nothing in the discussion would be read as one.</w:t>
      </w:r>
    </w:p>
    <w:p>
      <w:r>
        <w:t>Mary Parker presented the reconciled headcount and reporting view. The two legacy companies together carry more duplicate roles at the supervisor level than either side had expected, concentrated in finance and operations. She was careful to note which figures came from the acquired company's records and which came from yours, and to flag two positions where the two sources disagree and still need reconciling. That is an observation, not a recommendation. Nobody was asked to act on it today, and I want it recorded that way.</w:t>
      </w:r>
    </w:p>
    <w:p>
      <w:r>
        <w:t>Daniel Leach walked through the cost baseline. With the acquired-company accounts now in hand, the combined base is close to complete. One item is unresolved: the two companies define overhead differently, and until a single definition is settled the combined figure carries a qualification. Joseph Wallace agreed that his finance staff will confirm which definition governs. Until they do, the baseline number does not leave this room.</w:t>
      </w:r>
    </w:p>
    <w:p>
      <w:r>
        <w:t>Joseph Wallace asked whether we could give an early read on the size of the cost opportunity. Not yet. I would not have him planning against a number we cannot defend. The duplicate-role work points in an obvious direction, but the amount depends on the overhead definition that is still open, and any figure put on it now would be premature.</w:t>
      </w:r>
    </w:p>
    <w:p>
      <w:r>
        <w:t>We settled the scope of the operating-model work. It covers the functions named in the engagement letter and no others. Daniel Leach will circulate the written list for Joseph Wallace to confirm, so that we are not designing around a department we were never asked to touch. Once that list is confirmed, the operating-model work starts; it does not start before. Mary Parker noted that two functions were organized differently in each legacy company and asked how we would map them; we agreed to map both structures and mark where they diverge, rather than force one company's shape onto the other.</w:t>
      </w:r>
    </w:p>
    <w:p>
      <w:r>
        <w:t>We agreed to hold the next working session after the two open items close, rather than on a fixed date that would arrive before the baseline is defensible. Mary Parker and Daniel Leach will tell me when both are done, and I will set the date from there.</w:t>
      </w:r>
    </w:p>
    <w:p>
      <w:pPr>
        <w:pStyle w:val="Heading2"/>
      </w:pPr>
      <w:r>
        <w:t>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By</w:t>
            </w:r>
          </w:p>
        </w:tc>
      </w:tr>
      <w:tr>
        <w:tc>
          <w:tcPr>
            <w:tcW w:type="dxa" w:w="2880"/>
          </w:tcPr>
          <w:p>
            <w:r>
              <w:t>Confirm the single overhead definition with finance staff</w:t>
            </w:r>
          </w:p>
        </w:tc>
        <w:tc>
          <w:tcPr>
            <w:tcW w:type="dxa" w:w="2880"/>
          </w:tcPr>
          <w:p>
            <w:r>
              <w:t>Joseph Wallace</w:t>
            </w:r>
          </w:p>
        </w:tc>
        <w:tc>
          <w:tcPr>
            <w:tcW w:type="dxa" w:w="2880"/>
          </w:tcPr>
          <w:p>
            <w:r>
              <w:t>Within one week</w:t>
            </w:r>
          </w:p>
        </w:tc>
      </w:tr>
      <w:tr>
        <w:tc>
          <w:tcPr>
            <w:tcW w:type="dxa" w:w="2880"/>
          </w:tcPr>
          <w:p>
            <w:r>
              <w:t>Complete the combined cost baseline once the definition is confirmed</w:t>
            </w:r>
          </w:p>
        </w:tc>
        <w:tc>
          <w:tcPr>
            <w:tcW w:type="dxa" w:w="2880"/>
          </w:tcPr>
          <w:p>
            <w:r>
              <w:t>Daniel Leach</w:t>
            </w:r>
          </w:p>
        </w:tc>
        <w:tc>
          <w:tcPr>
            <w:tcW w:type="dxa" w:w="2880"/>
          </w:tcPr>
          <w:p>
            <w:r>
              <w:t>Before the next session</w:t>
            </w:r>
          </w:p>
        </w:tc>
      </w:tr>
      <w:tr>
        <w:tc>
          <w:tcPr>
            <w:tcW w:type="dxa" w:w="2880"/>
          </w:tcPr>
          <w:p>
            <w:r>
              <w:t>Circulate the in-scope function list for written confirmation</w:t>
            </w:r>
          </w:p>
        </w:tc>
        <w:tc>
          <w:tcPr>
            <w:tcW w:type="dxa" w:w="2880"/>
          </w:tcPr>
          <w:p>
            <w:r>
              <w:t>Daniel Leach</w:t>
            </w:r>
          </w:p>
        </w:tc>
        <w:tc>
          <w:tcPr>
            <w:tcW w:type="dxa" w:w="2880"/>
          </w:tcPr>
          <w:p>
            <w:r>
              <w:t>This week</w:t>
            </w:r>
          </w:p>
        </w:tc>
      </w:tr>
      <w:tr>
        <w:tc>
          <w:tcPr>
            <w:tcW w:type="dxa" w:w="2880"/>
          </w:tcPr>
          <w:p>
            <w:r>
              <w:t>Confirm the in-scope function list</w:t>
            </w:r>
          </w:p>
        </w:tc>
        <w:tc>
          <w:tcPr>
            <w:tcW w:type="dxa" w:w="2880"/>
          </w:tcPr>
          <w:p>
            <w:r>
              <w:t>Joseph Wallace</w:t>
            </w:r>
          </w:p>
        </w:tc>
        <w:tc>
          <w:tcPr>
            <w:tcW w:type="dxa" w:w="2880"/>
          </w:tcPr>
          <w:p>
            <w:r>
              <w:t>Within one week</w:t>
            </w:r>
          </w:p>
        </w:tc>
      </w:tr>
      <w:tr>
        <w:tc>
          <w:tcPr>
            <w:tcW w:type="dxa" w:w="2880"/>
          </w:tcPr>
          <w:p>
            <w:r>
              <w:t>Finalize the duplicate-role view and reconcile the two disputed positions</w:t>
            </w:r>
          </w:p>
        </w:tc>
        <w:tc>
          <w:tcPr>
            <w:tcW w:type="dxa" w:w="2880"/>
          </w:tcPr>
          <w:p>
            <w:r>
              <w:t>Mary Parker</w:t>
            </w:r>
          </w:p>
        </w:tc>
        <w:tc>
          <w:tcPr>
            <w:tcW w:type="dxa" w:w="2880"/>
          </w:tcPr>
          <w:p>
            <w:r>
              <w:t>Before the next session</w:t>
            </w:r>
          </w:p>
        </w:tc>
      </w:tr>
      <w:tr>
        <w:tc>
          <w:tcPr>
            <w:tcW w:type="dxa" w:w="2880"/>
          </w:tcPr>
          <w:p>
            <w:r>
              <w:t>Set the next working session once both open items are closed</w:t>
            </w:r>
          </w:p>
        </w:tc>
        <w:tc>
          <w:tcPr>
            <w:tcW w:type="dxa" w:w="2880"/>
          </w:tcPr>
          <w:p>
            <w:r>
              <w:t>Jason Torres</w:t>
            </w:r>
          </w:p>
        </w:tc>
        <w:tc>
          <w:tcPr>
            <w:tcW w:type="dxa" w:w="2880"/>
          </w:tcPr>
          <w:p>
            <w:r>
              <w:t>On completion of the above</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Post-Merger Integration for Carroll, Merritt and Williams</dc:title>
  <dc:subject/>
  <dc:creator>Jason Torres</dc:creator>
  <cp:keywords/>
  <dc:description>generated by python-docx</dc:description>
  <cp:lastModifiedBy>Jason Torres</cp:lastModifiedBy>
  <cp:revision>1</cp:revision>
  <dcterms:created xsi:type="dcterms:W3CDTF">2009-06-09T09:00:00Z</dcterms:created>
  <dcterms:modified xsi:type="dcterms:W3CDTF">2009-06-09T09:00:00Z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