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r>
        <w:t>Minutes of the working session on the customer retention program for Carroll, Merritt and Williams, held at the client's offices. Recorded by Mary Parker.</w:t>
      </w:r>
    </w:p>
    <w:p>
      <w:pPr>
        <w:pStyle w:val="Heading2"/>
      </w:pPr>
      <w:r>
        <w:t>Present</w:t>
      </w:r>
    </w:p>
    <w:p>
      <w:pPr>
        <w:pStyle w:val="ListBullet"/>
      </w:pPr>
      <w:r>
        <w:t>Deborah Jimenez, Engagement Manager</w:t>
      </w:r>
    </w:p>
    <w:p>
      <w:pPr>
        <w:pStyle w:val="ListBullet"/>
      </w:pPr>
      <w:r>
        <w:t>Mary Parker, Research Associate</w:t>
      </w:r>
    </w:p>
    <w:p>
      <w:pPr>
        <w:pStyle w:val="ListBullet"/>
      </w:pPr>
      <w:r>
        <w:t>Joseph Wallace, Chief Financial Officer, Carroll, Merritt and Williams</w:t>
      </w:r>
    </w:p>
    <w:p>
      <w:r>
        <w:t>We met to walk Joseph Wallace through where the retention baseline landed and to settle two definitions that had been left open since kickoff. We are far enough in to put firm numbers against who is leaving and what it costs; we are not yet at the point of recommending what to do about it, which Deborah Jimenez said plainly at the start so that nothing today would be read as a conclusion.</w:t>
      </w:r>
    </w:p>
    <w:p>
      <w:r>
        <w:t>I presented the baseline. Measured on the reconciled billing and CRM records, the picture holds together and ties back to the client's own revenue for the period. The losses concentrate in a way the room had half expected: the newest customers leave at a much higher rate than the established ones, and a small number of mid-sized accounts carry a disproportionate share of the revenue at risk. Deborah Jimenez and I kept the confirmed figures apart from the two segments still being cleaned, and nothing discussed today rests on the segments that remain open.</w:t>
      </w:r>
    </w:p>
    <w:p>
      <w:r>
        <w:t>The first definition we settled was what counts as a lost customer. The client's finance team counts an account gone when it is closed in billing; the sales team counts it gone when the account manager marks it dead, which often comes months earlier. We agreed to report both, with the billing definition as the headline and the sales definition as an early read, so that each team sees its own number and the gap between them.</w:t>
      </w:r>
    </w:p>
    <w:p>
      <w:r>
        <w:t>The second was how to treat customers who leave and later return. Joseph Wallace's view was that a customer who comes back within a year was never truly lost, and on the numbers he is mostly right; those returns are common enough to move the rate. We agreed to net them out of the headline churn and to track them on their own, because the win-back pattern is worth understanding in its own right.</w:t>
      </w:r>
    </w:p>
    <w:p>
      <w:r>
        <w:t>We also began the reasons-for-loss work. The interviews with lost accounts are underway, and the early ones point less at price than at service response times on the accounts that left. I flagged this as a working read rather than a finding; we have spoken to only a handful of accounts, and the sample is too thin to lean on. Deborah Jimenez asked that we weight the remaining interviews toward the mid-sized accounts that carry the revenue at risk, and Joseph Wallace agreed to open the account managers' calendars to us.</w:t>
      </w:r>
    </w:p>
    <w:p>
      <w:pPr>
        <w:pStyle w:val="Heading2"/>
      </w:pPr>
      <w:r>
        <w:t>What we agreed to do</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Customer Retention Program for Carroll, Merritt and Williams (draft)</dc:title>
  <dc:subject/>
  <dc:creator>Mary Parker</dc:creator>
  <cp:keywords/>
  <dc:description>generated by python-docx</dc:description>
  <cp:lastModifiedBy>Mary Parker</cp:lastModifiedBy>
  <cp:revision>1</cp:revision>
  <dcterms:created xsi:type="dcterms:W3CDTF">2019-09-04T09:00:00Z</dcterms:created>
  <dcterms:modified xsi:type="dcterms:W3CDTF">2019-09-04T09:00:00Z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