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Minutes of the working session on the customer retention program for Carroll, Merritt and Williams, held at our offices. Recorded by Mary Parker.</w:t>
      </w:r>
    </w:p>
    <w:p>
      <w:pPr>
        <w:pStyle w:val="Heading2"/>
      </w:pPr>
      <w:r>
        <w:t>In the room</w:t>
      </w:r>
    </w:p>
    <w:p>
      <w:pPr>
        <w:pStyle w:val="ListBullet"/>
      </w:pPr>
      <w:r>
        <w:t>Deborah Jimenez, Engagement Manager</w:t>
      </w:r>
    </w:p>
    <w:p>
      <w:pPr>
        <w:pStyle w:val="ListBullet"/>
      </w:pPr>
      <w:r>
        <w:t>Mary Parker, Research Associate</w:t>
      </w:r>
    </w:p>
    <w:p>
      <w:pPr>
        <w:pStyle w:val="ListBullet"/>
      </w:pPr>
      <w:r>
        <w:t>Joseph Wallace, Chief Financial Officer, Carroll, Merritt and Williams</w:t>
      </w:r>
    </w:p>
    <w:p>
      <w:r>
        <w:t>With the back half of the work well along, this was the first session at which we could put the pieces together for Joseph Wallace and show how the program would actually run. We are close enough to the end to talk about how it gets put in place; we are not there yet, and Deborah Jimenez framed what we showed as a draft the client's own people still need to shape.</w:t>
      </w:r>
    </w:p>
    <w:p>
      <w:r>
        <w:t>I took the room through the results of the commercial-lever work. Of the four levers we tested against the baseline, service response time and renewal timing return the most retained revenue for what they cost; broad discounting returns the least and, on our numbers, mostly gives away margin on customers who would have stayed anyway. Deborah Jimenez and I kept the sizing apart from the recommendation, and I marked where a figure still rests on the thinner renewal-pricing data rather than on the billing records.</w:t>
      </w:r>
    </w:p>
    <w:p>
      <w:r>
        <w:t>Most of the discussion was on the early-warning indicator. We have turned the at-risk list into a weekly signal an account manager can read, built from the handful of measures that ran ahead of a loss in the historical data. Joseph Wallace pressed on whether his managers would trust it, and it was a fair challenge; a score no one believes gets ignored. We agreed to put the indicator in front of a small group of account managers before it is finalized and to let their objections change it.</w:t>
      </w:r>
    </w:p>
    <w:p>
      <w:r>
        <w:t>On the program itself, the draft operating model now names who owns retention, what the account managers do when the signal fires, and the order of standing the whole thing up. Joseph Wallace asked that we not hand it over as a finished document but pilot it on one region first, so that his people learn to run it while we are still here to help. We agreed. Deborah Jimenez and I will scope a single-region pilot for the final stretch of the engagement.</w:t>
      </w:r>
    </w:p>
    <w:p>
      <w:r>
        <w:t>We closed on what the final deliverables will be. Joseph Wallace will receive the program itself, the early-warning indicator with the notes needed to run it, and a short written case that sets the cost of the program against the revenue it is built to retain. Deborah Jimenez asked that the case be conservative, resting on the retained revenue we can defend from the baseline rather than on the fuller figure the levers might support, and Joseph Wallace said he would rather carry a number he could stand behind to his own board than a larger one he could not.</w:t>
      </w:r>
    </w:p>
    <w:p>
      <w:pPr>
        <w:pStyle w:val="Heading2"/>
      </w:pPr>
      <w:r>
        <w:t>Agreed actions</w:t>
      </w:r>
    </w:p>
    <w:p>
      <w:pPr>
        <w:pStyle w:val="ListBullet"/>
      </w:pPr>
      <w:r>
        <w:t>Scope a single-region pilot of the retention program for the final stretch. Owners: Deborah Jimenez and Mary Parker, within two weeks.</w:t>
      </w:r>
    </w:p>
    <w:p>
      <w:pPr>
        <w:pStyle w:val="ListBullet"/>
      </w:pPr>
      <w:r>
        <w:t>Put the early-warning indicator in front of a small group of account managers and revise it against their objections. Owner: Mary Parker, before the pilot is set.</w:t>
      </w:r>
    </w:p>
    <w:p>
      <w:pPr>
        <w:pStyle w:val="ListBullet"/>
      </w:pPr>
      <w:r>
        <w:t>Firm up the renewal-pricing figures where the lever sizing still rests on thin data. Owner: Mary Parker, ongoing.</w:t>
      </w:r>
    </w:p>
    <w:p>
      <w:pPr>
        <w:pStyle w:val="ListBullet"/>
      </w:pPr>
      <w:r>
        <w:t>Confirm which region the pilot runs in and name the account managers who will run it. Owner: Joseph Wallace, within two weeks.</w:t>
      </w:r>
    </w:p>
    <w:p>
      <w:pPr>
        <w:pStyle w:val="ListBullet"/>
      </w:pPr>
      <w:r>
        <w:t>Draft the final report and implementation plan around the pilot rather than ahead of it. Owner: Deborah Jimenez, before the closing session.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Customer Retention Program for Carroll, Merritt and Williams</dc:title>
  <dc:subject/>
  <dc:creator>Mary Parker</dc:creator>
  <cp:keywords/>
  <dc:description>generated by python-docx</dc:description>
  <cp:lastModifiedBy>Mary Parker</cp:lastModifiedBy>
  <cp:revision>1</cp:revision>
  <dcterms:created xsi:type="dcterms:W3CDTF">2019-12-03T09:00:00Z</dcterms:created>
  <dcterms:modified xsi:type="dcterms:W3CDTF">2019-12-03T09:00:00Z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