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 Id="rIdOrgSmith" Type="http://schemas.openxmlformats.org/officeDocument/2006/relationships/custom-properties" Target="docProps/custom.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To: Jason Torres, Deborah Gordon</w:t>
      </w:r>
    </w:p>
    <w:p>
      <w:r>
        <w:t>From: James Green</w:t>
      </w:r>
    </w:p>
    <w:p>
      <w:r>
        <w:t>Re: Garcia-Werner market entry assessment, kickoff and the first weeks</w:t>
      </w:r>
    </w:p>
    <w:p>
      <w:r>
        <w:t>We are signed, and the market entry assessment for Garcia-Werner starts on May 21, 2012. The objective is narrow enough to state in a line: tell the client whether the new market is worth entering, and, if it is, by which route and at what cost. Three months, one recommendation, built on the client's own figures and on the market as far as we can document it. Our single contact is Mark Villegas, the Chief Financial Officer, and everything that goes to the client goes through him.</w:t>
      </w:r>
    </w:p>
    <w:p>
      <w:r>
        <w:t>The client already serves a related market and does well in it. The real question is whether the adjacent one is different enough to reward the effort of entering, or similar enough that the same playbook carries over. That distinction is what the whole assessment turns on, and it is the one Mark Villegas keeps coming back to. Keep it in front of you when the data starts to pile up.</w:t>
      </w:r>
    </w:p>
    <w:p>
      <w:r>
        <w:t>A word on scope before the work spreads. We size the market and recommend a way in; we do not negotiate an acquisition, sound out partners, or write the operating plan that entry would need later. If any of that is asked for while we are on site, the answer is that we will scope it, not that we have begun it. Keep the work to the assessment we were hired for.</w:t>
      </w:r>
    </w:p>
    <w:p>
      <w:pPr>
        <w:pStyle w:val="Heading2"/>
      </w:pPr>
      <w:r>
        <w:t>Lines of Work</w:t>
      </w:r>
    </w:p>
    <w:p>
      <w:pPr>
        <w:pStyle w:val="ListBullet"/>
      </w:pPr>
      <w:r>
        <w:t>Market size and attractiveness. I pull the published and industry data and build the picture of the market's size, its growth, and the margins in it. Where two sources disagree, the gap gets flagged in the first pass, not smoothed over later.</w:t>
      </w:r>
    </w:p>
    <w:p>
      <w:pPr>
        <w:pStyle w:val="ListBullet"/>
      </w:pPr>
      <w:r>
        <w:t>Competitive ground. We map who holds which position, and where a company with the client's cost base could actually win business rather than merely enter the market.</w:t>
      </w:r>
    </w:p>
    <w:p>
      <w:pPr>
        <w:pStyle w:val="ListBullet"/>
      </w:pPr>
      <w:r>
        <w:t>Customer demand. What a buyer in this market purchases, and why, from the interviews and whatever demand data we can get our hands on.</w:t>
      </w:r>
    </w:p>
    <w:p>
      <w:pPr>
        <w:pStyle w:val="ListBullet"/>
      </w:pPr>
      <w:r>
        <w:t>Entry options. Jason Torres frames build, buy, and partner, each sized on cost, speed, and risk, so the recommendation rests on a comparison and not on a preference.</w:t>
      </w:r>
    </w:p>
    <w:p>
      <w:pPr>
        <w:pStyle w:val="ListBullet"/>
      </w:pPr>
      <w:r>
        <w:t>Synthesis and recommendation. Deborah Gordon owns the write-up. Nothing reaches the client as a recommendation before the analysis behind it holds together.</w:t>
      </w:r>
    </w:p>
    <w:p>
      <w:pPr>
        <w:pStyle w:val="ListBullet"/>
      </w:pPr>
      <w:r>
        <w:t>Client cadence. A short status goes to Mark Villegas on a steady beat, so the client is never left guessing where the work stands.</w:t>
      </w:r>
    </w:p>
    <w:p>
      <w:pPr>
        <w:pStyle w:val="Heading2"/>
      </w:pPr>
      <w:r>
        <w:t>The First Weeks</w:t>
      </w:r>
    </w:p>
    <w:p>
      <w:pPr>
        <w:pStyle w:val="ListBullet"/>
      </w:pPr>
      <w:r>
        <w:t>I draft the data request this week, itemized and with the field definitions attached, and Jason Torres reviews it before it goes to Mark Villegas.</w:t>
      </w:r>
    </w:p>
    <w:p>
      <w:pPr>
        <w:pStyle w:val="ListBullet"/>
      </w:pPr>
      <w:r>
        <w:t>We agree the interview list, competitors' customers, trade sources, and the client's own commercial staff, before we ask anyone for a calendar slot.</w:t>
      </w:r>
    </w:p>
    <w:p>
      <w:pPr>
        <w:pStyle w:val="ListBullet"/>
      </w:pPr>
      <w:r>
        <w:t>Deborah Gordon sets up the synthesis structure now, so findings land in a frame that already exists instead of one thrown together at the end.</w:t>
      </w:r>
    </w:p>
    <w:p>
      <w:pPr>
        <w:pStyle w:val="ListBullet"/>
      </w:pPr>
      <w:r>
        <w:t>I will circulate a one-page work plan with the milestones for the three months by early next week, so we are all working to the same calendar.</w:t>
      </w:r>
    </w:p>
    <w:p>
      <w:pPr>
        <w:pStyle w:val="ListBullet"/>
      </w:pPr>
      <w:r>
        <w:t>No market size and no entry cost gets quoted to anyone at Garcia-Werner until the underlying data reconciles.</w:t>
      </w:r>
    </w:p>
    <w:p>
      <w:r>
        <w:t>By the end of the week I want the data request out to Mark Villegas and the interview list agreed among the three of us. With both settled, the first month opens cleanly, and we are not chasing access once the interviews have started.</w:t>
      </w:r>
    </w:p>
    <w:sectPr w:rsidR="00FC693F" w:rsidRPr="0006063C" w:rsidSect="00034616">
      <w:headerReference w:type="first" r:id="rId9"/>
      <w:headerReference w:type="default" r:id="rId10"/>
      <w:footerReference w:type="default" r:id="rId11"/>
      <w:footerReference w:type="first" r:id="rId12"/>
      <w:pgSz w:w="12240" w:h="15840"/>
      <w:pgMar w:top="1440" w:right="180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b/>
        <w:color w:val="4A2E2A"/>
        <w:sz w:val="28"/>
      </w:rPr>
      <w:t>Calderwood Partners LLC</w:t>
    </w:r>
  </w:p>
  <w:p>
    <w:r>
      <w:rPr>
        <w:sz w:val="18"/>
      </w:rPr>
      <w:t>www.calderwoodpartners.com</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Calderwood Partners LLC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Kickoff Memo: Market Entry Assessment for Garcia-Werner</dc:title>
  <dc:subject/>
  <dc:creator>James Green</dc:creator>
  <cp:keywords/>
  <dc:description>generated by python-docx</dc:description>
  <cp:lastModifiedBy>James Green</cp:lastModifiedBy>
  <cp:revision>1</cp:revision>
  <dcterms:created xsi:type="dcterms:W3CDTF">2012-05-24T09:00:00Z</dcterms:created>
  <dcterms:modified xsi:type="dcterms:W3CDTF">2012-05-24T09:00:00Z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rgSmithSynthetic">
    <vt:lpwstr>true</vt:lpwstr>
  </property>
</Properties>
</file>