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Market Entry Assessment</w:t>
      </w:r>
    </w:p>
    <w:p>
      <w:r>
        <w:t>Prepared for the office of the Chief Financial Officer, Garcia-Werner, by the engagement team. This report covers the period since our last update and sets out where the assessment stands at its midpoint.</w:t>
      </w:r>
    </w:p>
    <w:p>
      <w:pPr>
        <w:pStyle w:val="Heading2"/>
      </w:pPr>
      <w:r>
        <w:t>Summary</w:t>
      </w:r>
    </w:p>
    <w:p>
      <w:r>
        <w:t>The assessment for Garcia-Werner is at its midpoint and on plan. The market picture is built and has been agreed with your team as a working baseline. The competitive and demand work is largely complete. The entry options are framed and are moving into direct comparison. Against the fixed fee of $69,500 for the engagement, roughly half the budget is committed, which matches the share of the work delivered. We expect to hold both the schedule and the fee to the plan set at the outset.</w:t>
      </w:r>
    </w:p>
    <w:p>
      <w:r>
        <w:t>In short, the diagnostic half of the engagement is behind us, and the picture is consistent from every direction we have tested it. The market is real and growing, your cost position gives you somewhere to compete, and the demand work supports both. What remains is the decision the assessment was commissioned to inform: not whether the market exists, but whether and how you should enter it, and at what cost and return. The second half is built to answer exactly that.</w:t>
      </w:r>
    </w:p>
    <w:p>
      <w:pPr>
        <w:pStyle w:val="Heading2"/>
      </w:pPr>
      <w:r>
        <w:t>Completed This Period</w:t>
      </w:r>
    </w:p>
    <w:p>
      <w:r>
        <w:t>The first half of the assessment was spent establishing the facts the recommendation will rest on. That work is now substantially done, and the results have held up against your own figures wherever the two can be compared. We have deliberately front-loaded the diagnostic work so that the second half is spent on judgment rather than data-gathering, and so that any figure we put in front of you in the final report has already been reconciled once against a source your own team recognizes.</w:t>
      </w:r>
    </w:p>
    <w:p>
      <w:pPr>
        <w:pStyle w:val="ListBullet"/>
      </w:pPr>
      <w:r>
        <w:t>Market sizing is closed. The size, growth, and margin profile of the target market are established, and they reconcile with your segment data within a narrow band.</w:t>
      </w:r>
    </w:p>
    <w:p>
      <w:pPr>
        <w:pStyle w:val="ListBullet"/>
      </w:pPr>
      <w:r>
        <w:t>The competitive map is complete. The positions of the leading incumbents are documented, along with a gap in the mid-tier where your cost position would carry an advantage.</w:t>
      </w:r>
    </w:p>
    <w:p>
      <w:pPr>
        <w:pStyle w:val="ListBullet"/>
      </w:pPr>
      <w:r>
        <w:t>The first round of customer interviews is finished. Demand in the target segment reads more clearly than the published data alone had suggested, and it points the same way as the sizing.</w:t>
      </w:r>
    </w:p>
    <w:p>
      <w:pPr>
        <w:pStyle w:val="ListBullet"/>
      </w:pPr>
      <w:r>
        <w:t>The three entry routes, build, acquire, and partner, are framed on a common basis of cost, speed, and risk, and are ready for comparison.</w:t>
      </w:r>
    </w:p>
    <w:p>
      <w:pPr>
        <w:pStyle w:val="ListBullet"/>
      </w:pPr>
      <w:r>
        <w:t>Your finance and commercial teams have been responsive throughout, and the data flow has kept pace with the analysis, which is the main reason the first half held to schedule.</w:t>
      </w:r>
    </w:p>
    <w:p>
      <w:pPr>
        <w:pStyle w:val="Heading2"/>
      </w:pPr>
      <w:r>
        <w:t>The Second Half</w:t>
      </w:r>
    </w:p>
    <w:p>
      <w:r>
        <w:t>The remaining work turns the facts into a recommendation and sizes what acting on it would take. The emphasis now shifts from gathering to judgment, and from the market in general to your position in it specifically. We will bring the comparison to a working session before it is final, so that the recommendation reaches you already tested against your own reading of the market rather than delivered cold.</w:t>
      </w:r>
    </w:p>
    <w:p>
      <w:pPr>
        <w:pStyle w:val="ListBullet"/>
      </w:pPr>
      <w:r>
        <w:t>Complete the comparison of the three routes and settle on a recommended way in.</w:t>
      </w:r>
    </w:p>
    <w:p>
      <w:pPr>
        <w:pStyle w:val="ListBullet"/>
      </w:pPr>
      <w:r>
        <w:t>Size the recommended route: what entry would cost, what it would return, and over what period.</w:t>
      </w:r>
    </w:p>
    <w:p>
      <w:pPr>
        <w:pStyle w:val="ListBullet"/>
      </w:pPr>
      <w:r>
        <w:t>Deborah Gordon assembles the analysis and the recommendation into the final assessment.</w:t>
      </w:r>
    </w:p>
    <w:p>
      <w:pPr>
        <w:pStyle w:val="ListBullet"/>
      </w:pPr>
      <w:r>
        <w:t>Hold a working session to take you and your team through the draft before it is finalized.</w:t>
      </w:r>
    </w:p>
    <w:p>
      <w:pPr>
        <w:pStyle w:val="Heading2"/>
      </w:pPr>
      <w:r>
        <w:t>Risks and Watch Items</w:t>
      </w:r>
    </w:p>
    <w:p>
      <w:r>
        <w:t>Three items bear watching in the second half. None is off track today, and each is noted here so there are no surprises later. The valuation range for the acquisition route rests on comparable-transaction data that is thin in this market; we will present the range with its uncertainty marked, and will not imply a precision the data does not support. Two customer interviews slipped and have been rescheduled; if they slip again, the demand read on one segment stays softer than the rest, and we are managing that with the help of your commercial team at Garcia-Werner. The segment breakdown we requested is still outstanding in its final form, and we are working from the summary in the meantime, which is adequate for now but not for the final numbers. Taken together these are the ordinary uncertainties of an assessment at this stage, not signs of trouble, and we will keep each in view as the numbers firm up.</w:t>
      </w:r>
    </w:p>
    <w:p>
      <w:pPr>
        <w:pStyle w:val="Heading2"/>
      </w:pPr>
      <w:r>
        <w:t>Where This Leaves Us</w:t>
      </w:r>
    </w:p>
    <w:p>
      <w:r>
        <w:t>Nothing in the work to date changes the plan agreed at kickoff, and the assessment remains on schedule and within budget. The next report will carry the completed comparison and a recommended route, ahead of the working session where we will walk your team through it. Questions on the analysis are best directed to Jason Torres; questions on the underlying numbers to James Green.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Market Entry Assessment for Garcia-Werner</dc:title>
  <dc:subject/>
  <dc:creator>James Green</dc:creator>
  <cp:keywords/>
  <dc:description>generated by python-docx</dc:description>
  <cp:lastModifiedBy>James Green</cp:lastModifiedBy>
  <cp:revision>1</cp:revision>
  <dcterms:created xsi:type="dcterms:W3CDTF">2012-07-11T09:00:00Z</dcterms:created>
  <dcterms:modified xsi:type="dcterms:W3CDTF">2012-07-11T09:00:00Z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