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back-office automation for Garcia-Werner</w:t>
      </w:r>
    </w:p>
    <w:p>
      <w:r>
        <w:t>Prepared for the leadership of Garcia-Werner by Pamela Miller. This report covers the engagement to its midpoint.</w:t>
      </w:r>
    </w:p>
    <w:p>
      <w:pPr>
        <w:pStyle w:val="Heading2"/>
      </w:pPr>
      <w:r>
        <w:t>Where things stand</w:t>
      </w:r>
    </w:p>
    <w:p>
      <w:r>
        <w:t>The engagement is about halfway through. The first phase, mapping how the back-office work runs today and measuring what it costs in time and effort, is essentially complete and agreed with your team. We have moved into the second phase, which turns that picture into a ranked set of automation recommendations. Against the fixed fee of $33,500, which covers the whole engagement, the work is inside the scope and pace the engagement letter set, and we see nothing that would change either. In short, your team went over the current-state picture and it stood, it pointed clearly at where the routine work concentrates, and the recommendations now taking shape are aimed at those points.</w:t>
      </w:r>
    </w:p>
    <w:p>
      <w:r>
        <w:t>One finding from the first phase is worth stating plainly, because the recommendations rest on it. The bulk of the manual effort in your back office sits in a handful of high-volume, rule-based processes, chiefly invoice coding and matching, the month-end reconciliations, and expense checking. These are also the processes where the work is most repetitive and the rules most consistent, which is what makes them the strongest candidates to automate. The rest of the back office is not being set aside, but it is either lower in volume or more a matter of judgment than of rule, and it earns a lower place in the sequence for that reason.</w:t>
      </w:r>
    </w:p>
    <w:p>
      <w:pPr>
        <w:pStyle w:val="Heading2"/>
      </w:pPr>
      <w:r>
        <w:t>Completed since the last note</w:t>
      </w:r>
    </w:p>
    <w:p>
      <w:pPr>
        <w:pStyle w:val="ListBullet"/>
      </w:pPr>
      <w:r>
        <w:t>Finished the current-state map. Matthew Parrish closed out the last two process maps, procurement and payroll administration, once your records arrived, so every main back-office process at Garcia-Werner is now documented end to end, with its volumes and effort attached and sourced to your own records.</w:t>
      </w:r>
    </w:p>
    <w:p>
      <w:pPr>
        <w:pStyle w:val="ListBullet"/>
      </w:pPr>
      <w:r>
        <w:t>Settled the effort baseline. The figures behind the map were reviewed with your team, and the few provisional numbers were either confirmed or set aside.</w:t>
      </w:r>
    </w:p>
    <w:p>
      <w:pPr>
        <w:pStyle w:val="ListBullet"/>
      </w:pPr>
      <w:r>
        <w:t>Ranked the automation candidates. With the baseline in place, each candidate was weighed against the effort to automate it and the time it would return, and the candidates were put into a working order for the recommendations.</w:t>
      </w:r>
    </w:p>
    <w:p>
      <w:pPr>
        <w:pStyle w:val="ListBullet"/>
      </w:pPr>
      <w:r>
        <w:t>Closed the open data gaps. The fourth-quarter expense volumes and the purchasing-to-payables handoff that were outstanding at the last working session are now in hand and folded into the baseline.</w:t>
      </w:r>
    </w:p>
    <w:p>
      <w:pPr>
        <w:pStyle w:val="Heading2"/>
      </w:pPr>
      <w:r>
        <w:t>Fee and effort</w:t>
      </w:r>
    </w:p>
    <w:p>
      <w:r>
        <w:t>The engagement is about half elapsed and, by our own reckoning, about half the effort is spent. Because the fee is fixed at $33,500 rather than charged against hours, the question is not whether we have run over a rate but whether the work left to do fits the schedule and budget that remain, and it does. This note is only to confirm that, and that nothing in the second phase as it now looks would put it out.</w:t>
      </w:r>
    </w:p>
    <w:p>
      <w:pPr>
        <w:pStyle w:val="Heading2"/>
      </w:pPr>
      <w:r>
        <w:t>The next few weeks</w:t>
      </w:r>
    </w:p>
    <w:p>
      <w:pPr>
        <w:pStyle w:val="ListBullet"/>
      </w:pPr>
      <w:r>
        <w:t>Turn the ranked candidates into a target design: for each recommended process, what the automated version does, what it needs to run, and what it leaves for a person to handle.</w:t>
      </w:r>
    </w:p>
    <w:p>
      <w:pPr>
        <w:pStyle w:val="ListBullet"/>
      </w:pPr>
      <w:r>
        <w:t>Estimate, from the agreed baseline, the time and cost each recommendation would return, so every claim in the briefing is a number your team can check.</w:t>
      </w:r>
    </w:p>
    <w:p>
      <w:pPr>
        <w:pStyle w:val="ListBullet"/>
      </w:pPr>
      <w:r>
        <w:t>Prepare the briefing for your wider group, to be given once the recommendations are firm enough to defend.</w:t>
      </w:r>
    </w:p>
    <w:p>
      <w:pPr>
        <w:pStyle w:val="ListBullet"/>
      </w:pPr>
      <w:r>
        <w:t>Set out a transition outline: the order to take the changes in, and what each one asks of your teams while it is put in place.</w:t>
      </w:r>
    </w:p>
    <w:p>
      <w:pPr>
        <w:pStyle w:val="Heading2"/>
      </w:pPr>
      <w:r>
        <w:t>Risks and things to watch</w:t>
      </w:r>
    </w:p>
    <w:p>
      <w:pPr>
        <w:pStyle w:val="ListBullet"/>
      </w:pPr>
      <w:r>
        <w:t>Implementation is not in our scope. Our work ends with tested recommendations and a sequence; building and installing the automation is a separate step, whether your teams do it or a partner does. We flag it so the plan you receive is read for what it is.</w:t>
      </w:r>
    </w:p>
    <w:p>
      <w:pPr>
        <w:pStyle w:val="ListBullet"/>
      </w:pPr>
      <w:r>
        <w:t>Software selection. Where a recommendation points to a category of tool, we describe what the tool must do; choosing and negotiating a particular product is out of scope and would need its own decision on your side.</w:t>
      </w:r>
    </w:p>
    <w:p>
      <w:pPr>
        <w:pStyle w:val="ListBullet"/>
      </w:pPr>
      <w:r>
        <w:t>Change readiness. Automating a process changes how the people who run it spend their day. A sound recommendation can still stall if the affected staff are not brought along, and that part is shared between us and your managers.</w:t>
      </w:r>
    </w:p>
    <w:p>
      <w:pPr>
        <w:pStyle w:val="ListBullet"/>
      </w:pPr>
      <w:r>
        <w:t>Keeping the list focused. As the recommendations firm up there will be a pull to widen the list to processes that are lower in value or more a matter of judgment. We will flag each addition, but whether to reach beyond where the value concentrates is a call for your leadership as much as ours.</w:t>
      </w:r>
    </w:p>
    <w:p>
      <w:r>
        <w:t>We are glad to walk through any of this in more detail whenever it suits you. The next set-piece is the briefing to your wider group, which we will schedule once the recommendations are ready to stand behind.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Back-Office Automation for Garcia-Werner</dc:title>
  <dc:subject/>
  <dc:creator>Pamela Miller</dc:creator>
  <cp:keywords/>
  <dc:description>generated by python-docx</dc:description>
  <cp:lastModifiedBy>Pamela Miller</cp:lastModifiedBy>
  <cp:revision>1</cp:revision>
  <dcterms:created xsi:type="dcterms:W3CDTF">2021-05-25T09:00:00Z</dcterms:created>
  <dcterms:modified xsi:type="dcterms:W3CDTF">2021-05-25T09:00:00Z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