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Market Sizing and Entry Options</w:t>
      </w:r>
    </w:p>
    <w:p>
      <w:r>
        <w:t>Minutes recorded by Deborah Gordon. Subject: Garcia-Werner market entry assessment. Working session held with the client. Purpose of the session was to review the completed market sizing, the competitive map, and the three entry routes now under study. No decisions on entry were sought or taken. The meeting ran to time.</w:t>
      </w:r>
    </w:p>
    <w:p>
      <w:pPr>
        <w:pStyle w:val="Heading2"/>
      </w:pPr>
      <w:r>
        <w:t>Attendees</w:t>
      </w:r>
    </w:p>
    <w:p>
      <w:pPr>
        <w:pStyle w:val="ListBullet"/>
      </w:pPr>
      <w:r>
        <w:t>James Green, Senior Associate</w:t>
      </w:r>
    </w:p>
    <w:p>
      <w:pPr>
        <w:pStyle w:val="ListBullet"/>
      </w:pPr>
      <w:r>
        <w:t>Jason Torres, Principal</w:t>
      </w:r>
    </w:p>
    <w:p>
      <w:pPr>
        <w:pStyle w:val="ListBullet"/>
      </w:pPr>
      <w:r>
        <w:t>Deborah Gordon, Associate</w:t>
      </w:r>
    </w:p>
    <w:p>
      <w:pPr>
        <w:pStyle w:val="ListBullet"/>
      </w:pPr>
      <w:r>
        <w:t>Mark Villegas, Chief Financial Officer, Garcia-Werner</w:t>
      </w:r>
    </w:p>
    <w:p>
      <w:pPr>
        <w:pStyle w:val="Heading2"/>
      </w:pPr>
      <w:r>
        <w:t>Market Sizing</w:t>
      </w:r>
    </w:p>
    <w:p>
      <w:r>
        <w:t>James Green presented the size and growth estimates. The published sources and the client's segment data now agree within a narrow band. The target market is the larger of the two under discussion. Growth in the target segment runs ahead of the client's current markets. The margin profile is comparable to the client's existing business. Two data gaps remain. One is a missing prior-year figure. One is a definitional mismatch between two sources. Both are small. Neither changes the current picture. Mark Villegas accepted the sizing as a working baseline. James Green noted that later refinements will not reopen it.</w:t>
      </w:r>
    </w:p>
    <w:p>
      <w:pPr>
        <w:pStyle w:val="Heading2"/>
      </w:pPr>
      <w:r>
        <w:t>Competitive Position</w:t>
      </w:r>
    </w:p>
    <w:p>
      <w:r>
        <w:t>Jason Torres reviewed the competitive map. Three incumbents hold most of the volume. None is dominant. Pricing across the three is close. A gap sits in the mid-tier, between the volume players and the specialists. The client's cost position would be an advantage there. Mark Villegas named a fourth competitor absent from the data. It is a recent entrant and small. Jason Torres will add it and check whether it changes the mid-tier read. The team does not expect it to.</w:t>
      </w:r>
    </w:p>
    <w:p>
      <w:pPr>
        <w:pStyle w:val="Heading2"/>
      </w:pPr>
      <w:r>
        <w:t>Entry Options</w:t>
      </w:r>
    </w:p>
    <w:p>
      <w:r>
        <w:t>Deborah Gordon summarized the three routes under review: build, acquire, and partner. No route has been recommended. Each needs a cost and a timeline before the comparison holds. The build route is the slowest and the most within the client's control. The acquire route is the fastest and the least certain on price. The partner route sits between them. Mark Villegas asked that the acquire route carry a rough valuation range. The team agreed to scope one. The full comparison comes to the next working session.</w:t>
      </w:r>
    </w:p>
    <w:p>
      <w:pPr>
        <w:pStyle w:val="Heading2"/>
      </w:pPr>
      <w:r>
        <w:t>Client Input</w:t>
      </w:r>
    </w:p>
    <w:p>
      <w:r>
        <w:t>Mark Villegas confirmed the segment definition in use. He flagged one customer relationship that may open interview access. Deborah Gordon logged it for follow-up. Mark Villegas asked for the option comparison in writing ahead of the next session. The team agreed. No change was made to scope or timeline.</w:t>
      </w:r>
    </w:p>
    <w:p>
      <w:pPr>
        <w:pStyle w:val="Heading2"/>
      </w:pPr>
      <w:r>
        <w:t>Next Session</w:t>
      </w:r>
    </w:p>
    <w:p>
      <w:r>
        <w:t>The next working session will take up the full comparison of the three routes and the valuation range for the acquire route. Date to be confirmed with Mark Villegas. The team will circulate the written comparison in advance. No recommendation will be tabled until the comparison is complete.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Due</w:t>
            </w:r>
          </w:p>
        </w:tc>
      </w:tr>
      <w:tr>
        <w:tc>
          <w:tcPr>
            <w:tcW w:type="dxa" w:w="2880"/>
          </w:tcPr>
          <w:p>
            <w:r>
              <w:t>Close the two remaining gaps in the market sizing</w:t>
            </w:r>
          </w:p>
        </w:tc>
        <w:tc>
          <w:tcPr>
            <w:tcW w:type="dxa" w:w="2880"/>
          </w:tcPr>
          <w:p>
            <w:r>
              <w:t>James Green</w:t>
            </w:r>
          </w:p>
        </w:tc>
        <w:tc>
          <w:tcPr>
            <w:tcW w:type="dxa" w:w="2880"/>
          </w:tcPr>
          <w:p>
            <w:r>
              <w:t>Next week</w:t>
            </w:r>
          </w:p>
        </w:tc>
      </w:tr>
      <w:tr>
        <w:tc>
          <w:tcPr>
            <w:tcW w:type="dxa" w:w="2880"/>
          </w:tcPr>
          <w:p>
            <w:r>
              <w:t>Add the fourth competitor to the map and re-check the mid-tier</w:t>
            </w:r>
          </w:p>
        </w:tc>
        <w:tc>
          <w:tcPr>
            <w:tcW w:type="dxa" w:w="2880"/>
          </w:tcPr>
          <w:p>
            <w:r>
              <w:t>Jason Torres</w:t>
            </w:r>
          </w:p>
        </w:tc>
        <w:tc>
          <w:tcPr>
            <w:tcW w:type="dxa" w:w="2880"/>
          </w:tcPr>
          <w:p>
            <w:r>
              <w:t>Next week</w:t>
            </w:r>
          </w:p>
        </w:tc>
      </w:tr>
      <w:tr>
        <w:tc>
          <w:tcPr>
            <w:tcW w:type="dxa" w:w="2880"/>
          </w:tcPr>
          <w:p>
            <w:r>
              <w:t>Scope a rough valuation range for the acquire route</w:t>
            </w:r>
          </w:p>
        </w:tc>
        <w:tc>
          <w:tcPr>
            <w:tcW w:type="dxa" w:w="2880"/>
          </w:tcPr>
          <w:p>
            <w:r>
              <w:t>Jason Torres</w:t>
            </w:r>
          </w:p>
        </w:tc>
        <w:tc>
          <w:tcPr>
            <w:tcW w:type="dxa" w:w="2880"/>
          </w:tcPr>
          <w:p>
            <w:r>
              <w:t>Before next session</w:t>
            </w:r>
          </w:p>
        </w:tc>
      </w:tr>
      <w:tr>
        <w:tc>
          <w:tcPr>
            <w:tcW w:type="dxa" w:w="2880"/>
          </w:tcPr>
          <w:p>
            <w:r>
              <w:t>Confirm the customer interview contact and set the schedule</w:t>
            </w:r>
          </w:p>
        </w:tc>
        <w:tc>
          <w:tcPr>
            <w:tcW w:type="dxa" w:w="2880"/>
          </w:tcPr>
          <w:p>
            <w:r>
              <w:t>Deborah Gordon</w:t>
            </w:r>
          </w:p>
        </w:tc>
        <w:tc>
          <w:tcPr>
            <w:tcW w:type="dxa" w:w="2880"/>
          </w:tcPr>
          <w:p>
            <w:r>
              <w:t>Next week</w:t>
            </w:r>
          </w:p>
        </w:tc>
      </w:tr>
      <w:tr>
        <w:tc>
          <w:tcPr>
            <w:tcW w:type="dxa" w:w="2880"/>
          </w:tcPr>
          <w:p>
            <w:r>
              <w:t>Circulate the entry-options comparison in writing</w:t>
            </w:r>
          </w:p>
        </w:tc>
        <w:tc>
          <w:tcPr>
            <w:tcW w:type="dxa" w:w="2880"/>
          </w:tcPr>
          <w:p>
            <w:r>
              <w:t>Deborah Gordon</w:t>
            </w:r>
          </w:p>
        </w:tc>
        <w:tc>
          <w:tcPr>
            <w:tcW w:type="dxa" w:w="2880"/>
          </w:tcPr>
          <w:p>
            <w:r>
              <w:t>Before next session</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Market Entry Assessment for Garcia-Werner</dc:title>
  <dc:subject/>
  <dc:creator>Deborah Gordon</dc:creator>
  <cp:keywords/>
  <dc:description>generated by python-docx</dc:description>
  <cp:lastModifiedBy>Deborah Gordon</cp:lastModifiedBy>
  <cp:revision>1</cp:revision>
  <dcterms:created xsi:type="dcterms:W3CDTF">2012-06-29T09:00:00Z</dcterms:created>
  <dcterms:modified xsi:type="dcterms:W3CDTF">2012-06-29T09:00:00Z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