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is our progress report on the pricing engagement, written for your leadership team a little past the midpoint of the work. Its aim is the same as the one we bring to our meetings: to keep you close to what we are doing and what we are finding, so that nothing in the eventual recommendations arrives without warning. The engagement with Garza, Leblanc and Porter has, so far, been the kind of problem it looked like when we started. The difficulty is not one price set wrongly but a set of pricing habits that have drifted apart from one another over the years, and the value of the work lies in bringing them back into line.</w:t>
      </w:r>
    </w:p>
    <w:p>
      <w:pPr>
        <w:pStyle w:val="Heading2"/>
      </w:pPr>
      <w:r>
        <w:t>Where things stand</w:t>
      </w:r>
    </w:p>
    <w:p>
      <w:r>
        <w:t>By our own reckoning we are at roughly the halfway point of the engagement, and its shape has turned as we expected it to. The first half was diagnosis. We set out to understand how Garza, Leblanc and Porter actually prices today, account by account and product by product, before proposing any change to it. That diagnostic is now substantially in hand, and we are beginning to turn from describing the present to designing what should take its place. We are neither ahead of the plan we gave you nor behind it; we are where a well-run engagement of this length should be at this point.</w:t>
      </w:r>
    </w:p>
    <w:p>
      <w:pPr>
        <w:pStyle w:val="Heading2"/>
      </w:pPr>
      <w:r>
        <w:t>What we finished in the last several weeks</w:t>
      </w:r>
    </w:p>
    <w:p>
      <w:r>
        <w:t>The largest piece of work to close in this period belongs to Brenda Rodriguez, who led the analysis of price realization across the book of business. She reconstructed the path from the list price to the price you actually collect and traced where the difference goes: standard discounts, negotiated concessions, rebates, and the smaller leakages that no single line on an invoice captures on its own. Her finding, which she states carefully because the underlying data still has two gaps we are closing, is that realization varies far more from one customer to the next than from one product to another, and that a handful of your largest accounts carry discounts the rest of the base does not. Deborah Gordon has taken that material and drawn it into a first synthesis that a reader outside the analysis can follow without wading through the workings, and that is the version we expect to bring to your team. My own part has been the source work underneath both of theirs: assembling the transaction history, the published discount schedules, and the competitive price points we were able to verify, and keeping a record of where every figure came from, so that any number we eventually show you can be traced back to something your own staff already recognize.</w:t>
      </w:r>
    </w:p>
    <w:p>
      <w:pPr>
        <w:pStyle w:val="Heading2"/>
      </w:pPr>
      <w:r>
        <w:t>The stretch ahead</w:t>
      </w:r>
    </w:p>
    <w:p>
      <w:r>
        <w:t>With the diagnosis nearly complete, the second half of the engagement turns to what to do about it. We will build a pricing approach that fits how Garza, Leblanc and Porter goes to market rather than a grid lifted from somewhere else: segment-level guidance on where pricing discretion belongs and where it does not, a clearer structure for approving discounts, and a small number of specific corrections on the accounts where realization has drifted furthest. We mean to test each recommendation against your real transaction history before it reaches you, so that what we propose is something we have already checked against your own numbers rather than a principle we hope holds. We would also like to spend time with two or three of your commercial managers as this takes shape. A pricing change that the people who quote and negotiate cannot live with is not a change worth proposing, and they will tell us early where the design meets the ground and where it does not.</w:t>
      </w:r>
    </w:p>
    <w:p>
      <w:pPr>
        <w:pStyle w:val="Heading2"/>
      </w:pPr>
      <w:r>
        <w:t>On the fee and the schedule</w:t>
      </w:r>
    </w:p>
    <w:p>
      <w:r>
        <w:t>The engagement continues within the fixed fee of $107,000 agreed when we began, and we foresee no change to that figure. Nothing in the work to date has pushed us past the scope the fee was set to cover, and we are not carrying any out-of-scope request that would call for a separate conversation about cost. Should the design phase surface a question that genuinely lies outside what we set out to do, we will raise it with you in writing before we act on it, not after.</w:t>
      </w:r>
    </w:p>
    <w:p>
      <w:pPr>
        <w:pStyle w:val="Heading2"/>
      </w:pPr>
      <w:r>
        <w:t>What could move the timeline</w:t>
      </w:r>
    </w:p>
    <w:p>
      <w:r>
        <w:t>Two matters could slow the second half if we do not stay ahead of them, and we would rather you knew of both now. The first is the pair of data gaps mentioned above: two months of rebate detail in the largest segment still reach us only in summary form, and until we have them broken out by account Brenda Rodriguez is treating the concentration finding as strong but not yet final. We expect to close that within the next two weeks. The second is access to your commercial managers as the year draws toward its close, which is a naturally busy stretch for them. If their time proves short, the design work will still move forward, but the testing against how they actually price will run tighter than we would prefer. Neither of these puts the outcome in doubt. We record them only so that the shape of the risk is visible to you as it is to us.</w:t>
      </w:r>
    </w:p>
    <w:p>
      <w:r>
        <w:t>We are pleased with how the work is going and, more to the point, with what it is turning up. When the design has firmed enough to be worth reacting to, we will bring it to you in person rather than leave it to a page. In the meantime, if anything in this report raises a question, telephone us and we will walk you through it.</w:t>
      </w:r>
    </w:p>
    <w:p>
      <w:r>
        <w:t>Prepared by Mary Parker, Research Associate, on behalf of the engagement team.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Pricing Strategy for Garza, Leblanc and Porter</dc:title>
  <dc:subject/>
  <dc:creator>Mary Parker</dc:creator>
  <cp:keywords/>
  <dc:description>generated by python-docx</dc:description>
  <cp:lastModifiedBy>Mary Parker</cp:lastModifiedBy>
  <cp:revision>1</cp:revision>
  <dcterms:created xsi:type="dcterms:W3CDTF">2009-10-09T09:00:00Z</dcterms:created>
  <dcterms:modified xsi:type="dcterms:W3CDTF">2009-10-09T09:00:00Z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