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Melissa Casey</w:t>
      </w:r>
    </w:p>
    <w:p>
      <w:r>
        <w:t>From: Steven Hunt</w:t>
      </w:r>
    </w:p>
    <w:p>
      <w:r>
        <w:t>Subject: Getting the portfolio work underway for Garza, Leblanc and Porter</w:t>
      </w:r>
    </w:p>
    <w:p>
      <w:r>
        <w:t>Melissa, before we get going on March 22, 2019 I wanted the two of us reading from the same page, because a portfolio study is the kind of work that sprawls if you let it. Garza, Leblanc and Porter runs several businesses under one roof, and Barbara Ward has been plain about the question the board is really asking: where should the group put its money and its attention next, and is there anything in the mix that has stopped earning its place. Everything we do should point back at that one question. If we keep it in front of us, I think we can hold the work tight.</w:t>
      </w:r>
    </w:p>
    <w:p>
      <w:pPr>
        <w:pStyle w:val="Heading2"/>
      </w:pPr>
      <w:r>
        <w:t>How I would carve up the work</w:t>
      </w:r>
    </w:p>
    <w:p>
      <w:pPr>
        <w:pStyle w:val="ListBullet"/>
      </w:pPr>
      <w:r>
        <w:t>The inside read. We pull each business's own numbers together, side by side, on a common definition, so that revenue, margin, the capital each ties up, and its growth line all mean the same thing across the group. Barbara Ward's operations team is our way in for most of this.</w:t>
      </w:r>
    </w:p>
    <w:p>
      <w:pPr>
        <w:pStyle w:val="ListBullet"/>
      </w:pPr>
      <w:r>
        <w:t>The market read, which is mine. For each business I want to know the market it sits in, how fast that market is moving, and where the unit stands against the people it competes with. My early hunch is that a couple of these units look stronger on the inside numbers than their markets will support over time, but that is exactly the sort of thing I would rather test than assert, so treat it as a flag and nothing more.</w:t>
      </w:r>
    </w:p>
    <w:p>
      <w:pPr>
        <w:pStyle w:val="ListBullet"/>
      </w:pPr>
      <w:r>
        <w:t>The outside benchmark, which is yours. You set each business against comparable companies we can read from outside, so that we have a measure of strong and weak that does not come only from within the group.</w:t>
      </w:r>
    </w:p>
    <w:p>
      <w:pPr>
        <w:pStyle w:val="ListBullet"/>
      </w:pPr>
      <w:r>
        <w:t>The synthesis. Late in the engagement we put every business on one map, attractiveness against position, and turn that into a view on where the money should go and in what order. That part waits until the first three lines are solid.</w:t>
      </w:r>
    </w:p>
    <w:p>
      <w:r>
        <w:t>One note on how we handle their side. Barbara Ward mentioned that her operations people are already stretched, so let us consolidate every request, ask once, and keep the log tight enough that nobody at Garza, Leblanc and Porter is chased twice for the same file. A fair amount of the unit-level performance data is sensitive inside the group as well, so it stays between us and does not travel.</w:t>
      </w:r>
    </w:p>
    <w:p>
      <w:pPr>
        <w:pStyle w:val="Heading2"/>
      </w:pPr>
      <w:r>
        <w:t>The first couple of weeks</w:t>
      </w:r>
    </w:p>
    <w:p>
      <w:pPr>
        <w:pStyle w:val="ListBullet"/>
      </w:pPr>
      <w:r>
        <w:t>I get one consolidated data request over to Barbara Ward this week, rather than dribbling asks at her team, and I open a log of what we have requested and what has come back.</w:t>
      </w:r>
    </w:p>
    <w:p>
      <w:pPr>
        <w:pStyle w:val="ListBullet"/>
      </w:pPr>
      <w:r>
        <w:t>You and I agree the common definitions for a business, its margin, and the capital it uses before either of us calculates anything, so that we are not arguing in month four about what a number means.</w:t>
      </w:r>
    </w:p>
    <w:p>
      <w:pPr>
        <w:pStyle w:val="ListBullet"/>
      </w:pPr>
      <w:r>
        <w:t>I start the market scan on the two largest units, since they will carry most of the answer.</w:t>
      </w:r>
    </w:p>
    <w:p>
      <w:pPr>
        <w:pStyle w:val="ListBullet"/>
      </w:pPr>
      <w:r>
        <w:t>We compare notes at the end of next week, gaps and all, and see whether the shape of the portfolio is starting to show.</w:t>
      </w:r>
    </w:p>
    <w:p>
      <w:r>
        <w:t>None of this is a finding yet, obviously; it is a plan and a data request going out the door. Poke holes in any of it now, while changing it costs nothing. If the definitions or the split of work look off to you, say so before we are committed to them. And if the request is going to land badly with anyone on their side, better we hear it from you before it goes out than from Barbara Ward afterward.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Portfolio Strategy for Garza, Leblanc and Porter</dc:title>
  <dc:subject/>
  <dc:creator>Steven Hunt</dc:creator>
  <cp:keywords/>
  <dc:description>generated by python-docx</dc:description>
  <cp:lastModifiedBy>Steven Hunt</cp:lastModifiedBy>
  <cp:revision>1</cp:revision>
  <dcterms:created xsi:type="dcterms:W3CDTF">2019-03-25T09:00:00Z</dcterms:created>
  <dcterms:modified xsi:type="dcterms:W3CDTF">2019-03-25T09:00:00Z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