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Portfolio Strategy</w:t>
      </w:r>
    </w:p>
    <w:p>
      <w:pPr>
        <w:pStyle w:val="ListBullet"/>
      </w:pPr>
      <w:r>
        <w:t>Client of record: Garza, Leblanc and Porter</w:t>
      </w:r>
    </w:p>
    <w:p>
      <w:pPr>
        <w:pStyle w:val="ListBullet"/>
      </w:pPr>
      <w:r>
        <w:t>Prepared for the operations sponsor at Garza, Leblanc and Porter</w:t>
      </w:r>
    </w:p>
    <w:p>
      <w:pPr>
        <w:pStyle w:val="ListBullet"/>
      </w:pPr>
      <w:r>
        <w:t>Prepared by Steven Hunt, with Melissa Casey</w:t>
      </w:r>
    </w:p>
    <w:p>
      <w:pPr>
        <w:pStyle w:val="ListBullet"/>
      </w:pPr>
      <w:r>
        <w:t>Reporting period: the four weeks ending with this report</w:t>
      </w:r>
    </w:p>
    <w:p>
      <w:pPr>
        <w:pStyle w:val="ListBullet"/>
      </w:pPr>
      <w:r>
        <w:t>Engagement roughly at its midpoint</w:t>
      </w:r>
    </w:p>
    <w:p>
      <w:pPr>
        <w:pStyle w:val="Heading2"/>
      </w:pPr>
      <w:r>
        <w:t>Where things stand</w:t>
      </w:r>
    </w:p>
    <w:p>
      <w:r>
        <w:t>The engagement reached its midpoint this period and is on plan. The inside read is complete for every business in the group, the outside benchmark is substantially done, and we have begun turning both into the portfolio view that the recommendation will rest on. Measured against the engagement budget of $39,000, we are a little under half spent, which tracks the work performed rather than the calendar; the heavier synthesis hours fall in the periods ahead, and the budget was built around that. Nothing we have found points to a change in the fee or the timeline.</w:t>
      </w:r>
    </w:p>
    <w:p>
      <w:r>
        <w:t>The short version, for anyone reading only this far: the diagnostic work is essentially finished, the picture is close to what we expected going in, and the work now turns from measuring each business to weighing the businesses against one another. We are not recommending anything yet, and will not until the portfolio map is built and tested.</w:t>
      </w:r>
    </w:p>
    <w:p>
      <w:pPr>
        <w:pStyle w:val="Heading2"/>
      </w:pPr>
      <w:r>
        <w:t>Completed this period</w:t>
      </w:r>
    </w:p>
    <w:p>
      <w:pPr>
        <w:pStyle w:val="ListBullet"/>
      </w:pPr>
      <w:r>
        <w:t>Finished the common financial read across every business, including the two smaller units whose segment margins came in late and are now reconciled.</w:t>
      </w:r>
    </w:p>
    <w:p>
      <w:pPr>
        <w:pStyle w:val="ListBullet"/>
      </w:pPr>
      <w:r>
        <w:t>Completed the market read on the two largest units and confirmed that they sit in markets moving at very different speeds.</w:t>
      </w:r>
    </w:p>
    <w:p>
      <w:pPr>
        <w:pStyle w:val="ListBullet"/>
      </w:pPr>
      <w:r>
        <w:t>Brought the outside benchmark to substantial completion; Melissa Casey has each business set against a comparable set, with the reference base for the weakest unit now widened enough to rely on.</w:t>
      </w:r>
    </w:p>
    <w:p>
      <w:pPr>
        <w:pStyle w:val="ListBullet"/>
      </w:pPr>
      <w:r>
        <w:t>Restated the third business's margin on a like-for-like overhead basis, which closed the range we were carrying on it at the last session.</w:t>
      </w:r>
    </w:p>
    <w:p>
      <w:pPr>
        <w:pStyle w:val="ListBullet"/>
      </w:pPr>
      <w:r>
        <w:t>Held two working sessions on the largest units and documented how each business actually runs, which grounds the market read in more than the numbers.</w:t>
      </w:r>
    </w:p>
    <w:p>
      <w:pPr>
        <w:pStyle w:val="ListBullet"/>
      </w:pPr>
      <w:r>
        <w:t>Reconciled the unit-level figures to the group's own management accounts with your finance team, so that our baseline matches the numbers your reporting produces.</w:t>
      </w:r>
    </w:p>
    <w:p>
      <w:r>
        <w:t>None of that has gone to your board as a recommendation. These results are inputs to the portfolio view, and we have labeled them that way on every internal exhibit, so that no one mistakes a measurement for a verdict on a business.</w:t>
      </w:r>
    </w:p>
    <w:p>
      <w:r>
        <w:t>A word on how the two sides have worked this period, since it bears on the pace. Your finance team turned the reconciliation questions around quickly, which is the main reason the inside read closed on schedule, and Melissa Casey and I have kept the single request log current so that nothing is asked for twice. The bulk of our hours this period went into cleaning and reconciling data rather than into analysis; that is the ordinary shape of a study at this stage, and it is why the lighter-looking spend does not mean the work is behind.</w:t>
      </w:r>
    </w:p>
    <w:p>
      <w:pPr>
        <w:pStyle w:val="Heading2"/>
      </w:pPr>
      <w:r>
        <w:t>The period ahead</w:t>
      </w:r>
    </w:p>
    <w:p>
      <w:pPr>
        <w:pStyle w:val="ListBullet"/>
      </w:pPr>
      <w:r>
        <w:t>We place every business on one map of market attractiveness and competitive position, so that the group can be seen whole rather than one unit at a time.</w:t>
      </w:r>
    </w:p>
    <w:p>
      <w:pPr>
        <w:pStyle w:val="ListBullet"/>
      </w:pPr>
      <w:r>
        <w:t>Melissa Casey drafts the benchmark exhibits so that each business reads on a single page against its comparables.</w:t>
      </w:r>
    </w:p>
    <w:p>
      <w:pPr>
        <w:pStyle w:val="ListBullet"/>
      </w:pPr>
      <w:r>
        <w:t>We test each unit's standing against a normal year rather than the last twelve months alone, so that one soft or strong quarter does not tilt where a business lands on the map.</w:t>
      </w:r>
    </w:p>
    <w:p>
      <w:pPr>
        <w:pStyle w:val="ListBullet"/>
      </w:pPr>
      <w:r>
        <w:t>We walk the draft portfolio map past you before the next formal session, so that the options arrive already framed against how you see the businesses.</w:t>
      </w:r>
    </w:p>
    <w:p>
      <w:pPr>
        <w:pStyle w:val="ListBullet"/>
      </w:pPr>
      <w:r>
        <w:t>We prepare a first, clearly labeled set of portfolio options for the next working session, rather than a single answer.</w:t>
      </w:r>
    </w:p>
    <w:p>
      <w:pPr>
        <w:pStyle w:val="Heading2"/>
      </w:pPr>
      <w:r>
        <w:t>Risks and what we are watching</w:t>
      </w:r>
    </w:p>
    <w:p>
      <w:pPr>
        <w:pStyle w:val="ListBullet"/>
      </w:pPr>
      <w:r>
        <w:t>Competitor detail. The market read on the two large units leans on competitor information that is still partly incomplete; if the remaining detail shifts the picture, it will move where those units land, and you will hear it from us before it changes any recommendation.</w:t>
      </w:r>
    </w:p>
    <w:p>
      <w:pPr>
        <w:pStyle w:val="ListBullet"/>
      </w:pPr>
      <w:r>
        <w:t>Thin references on the smaller units. The comparable set for the smallest businesses is narrow, and a narrow benchmark can flatter or punish a unit unfairly; we are widening it and will flag any conclusion that rests on too few references.</w:t>
      </w:r>
    </w:p>
    <w:p>
      <w:pPr>
        <w:pStyle w:val="ListBullet"/>
      </w:pPr>
      <w:r>
        <w:t>Questions at the edge of scope. A couple of your managers have raised questions about pricing inside individual units that sit just outside the portfolio scope. We have logged them and will flag any that would change the fee before doing the work, not after.</w:t>
      </w:r>
    </w:p>
    <w:p>
      <w:r>
        <w:t>On balance, the work sits where it should at the halfway mark, and the coming period turns the diagnosis into portfolio options you can weigh. If the next period runs to plan, those options will be in your hands with room to consider them before the final month. I will hold this report to the same monthly cadence, and the request log stays open for anyone at Garza, Leblanc and Porter who wants to see what is outstanding.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Portfolio Strategy for Garza, Leblanc and Porter</dc:title>
  <dc:subject/>
  <dc:creator>Steven Hunt</dc:creator>
  <cp:keywords/>
  <dc:description>generated by python-docx</dc:description>
  <cp:lastModifiedBy>Steven Hunt</cp:lastModifiedBy>
  <cp:revision>1</cp:revision>
  <dcterms:created xsi:type="dcterms:W3CDTF">2019-07-28T09:00:00Z</dcterms:created>
  <dcterms:modified xsi:type="dcterms:W3CDTF">2019-07-28T09:00:00Z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