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Portfolio Strategy for Garza, Leblanc and Porter: Monthly Status</w:t>
      </w:r>
    </w:p>
    <w:p>
      <w:r>
        <w:t>Prepared by Steven Hunt, with Melissa Casey, for the operations sponsor. This is the monthly note on where the portfolio work for Garza, Leblanc and Porter stands, and it runs shorter than the last few, because most of the engagement is now behind us. We are into the closing stretch. The diagnosis was finished some time back, the portfolio map has held up through every test we have put it through, and the recommendation is settled in all but its final wording; what remains is to put it in front of your board in the form we agreed. We are tracking close to plan against the fixed fee of $39,000, with the small remainder held for the readout and the handover, and there is no change to the fee to raise with you.</w:t>
      </w:r>
    </w:p>
    <w:p>
      <w:pPr>
        <w:pStyle w:val="Heading2"/>
      </w:pPr>
      <w:r>
        <w:t>Where the work has got to</w:t>
      </w:r>
    </w:p>
    <w:p>
      <w:r>
        <w:t>The plain version, if you read nothing else, is that the study is essentially done and the work now is presentation. The five businesses sit on one map: two in a clear invest position, two steady enough to hold, and one weak enough, in a market that is giving it no help, that the case for keeping it inside the group is one we have had to build with care. None of it is a surprise; it is the answer we began to see at the midpoint, now measured and stress-tested. I am not asking your board to decide anything in this note. I want you to see, ahead of the formal readout, that the picture has not moved since we last walked it with you, and that the past month went into hardening it.</w:t>
      </w:r>
    </w:p>
    <w:p>
      <w:pPr>
        <w:pStyle w:val="Heading2"/>
      </w:pPr>
      <w:r>
        <w:t>Wrapped up since my last note</w:t>
      </w:r>
    </w:p>
    <w:p>
      <w:pPr>
        <w:pStyle w:val="ListBullet"/>
      </w:pPr>
      <w:r>
        <w:t>Costed the case for keeping the weakest unit where it is. You asked us to develop this before we would put an exit on the table, and it is done. We have set out what leaving that business inside the group would cost over the next few years, so the recommendation carries its own counter-argument.</w:t>
      </w:r>
    </w:p>
    <w:p>
      <w:pPr>
        <w:pStyle w:val="ListBullet"/>
      </w:pPr>
      <w:r>
        <w:t>Firmed up the recommendation on the two invest businesses, so it is pitched to the board at the level of a decision it can actually take.</w:t>
      </w:r>
    </w:p>
    <w:p>
      <w:pPr>
        <w:pStyle w:val="ListBullet"/>
      </w:pPr>
      <w:r>
        <w:t>Melissa Casey pulled together the final exhibit pack and checked that every business on the map ties back to both an inside figure and an outside comparable. There are no open benchmark items left on our side.</w:t>
      </w:r>
    </w:p>
    <w:p>
      <w:pPr>
        <w:pStyle w:val="ListBullet"/>
      </w:pPr>
      <w:r>
        <w:t>Ran the whole map once more against a normal year, smoothing out the last twelve months, and the placements did not shift. That is about as much comfort as this kind of analysis gives you that the answer does not rest on one good or bad quarter.</w:t>
      </w:r>
    </w:p>
    <w:p>
      <w:pPr>
        <w:pStyle w:val="ListBullet"/>
      </w:pPr>
      <w:r>
        <w:t>Walked the near-final material past your operations team at Garza, Leblanc and Porter, so nothing in the board pack lands on them cold.</w:t>
      </w:r>
    </w:p>
    <w:p>
      <w:r>
        <w:t>A word on the last month, because it is the reason the finishing has gone quickly. Your finance team answered the last reconciliation questions inside a day or two each time, which let us close the numbers without a scramble, and Melissa Casey and I have kept to the single request log, so nobody on your side has been chased twice for the same file. The hours this period went mostly into building the exit case and dressing the exhibits, which is the ordinary shape of the closing weeks of a study like this.</w:t>
      </w:r>
    </w:p>
    <w:p>
      <w:pPr>
        <w:pStyle w:val="Heading2"/>
      </w:pPr>
      <w:r>
        <w:t>What is left before we hand it over</w:t>
      </w:r>
    </w:p>
    <w:p>
      <w:r>
        <w:t>Not much, and all of it is finishing work. We will deliver the recommendation in the shape you asked for: a short decision document for the board, with the full portfolio map and the benchmark detail behind it as an appendix, so the reasoning is on hand for anyone who wants it without crowding the choice. Before the formal session I would like an hour with you to walk the final draft, so the options reach the board framed the way you see the businesses. After the readout there is a short handover: the workpapers, the model, and a plain note on what would later move the weakest unit's placement, so your own people can keep the map current once we step away.</w:t>
      </w:r>
    </w:p>
    <w:p>
      <w:pPr>
        <w:pStyle w:val="Heading2"/>
      </w:pPr>
      <w:r>
        <w:t>A few things I am still watching</w:t>
      </w:r>
    </w:p>
    <w:p>
      <w:pPr>
        <w:pStyle w:val="ListBullet"/>
      </w:pPr>
      <w:r>
        <w:t>The exit decision. My own read is that the case for exiting the weakest unit is now hard to argue against, but that is the board's call to weigh, and I would not be surprised if it wants time to sit with the number before it moves. That is about how fast a board decides; the analysis underneath is finished.</w:t>
      </w:r>
    </w:p>
    <w:p>
      <w:pPr>
        <w:pStyle w:val="ListBullet"/>
      </w:pPr>
      <w:r>
        <w:t>A couple of thin references. The comparable set behind the smallest business is still narrower than I would like. We have widened it as far as the public reference points allow, and I have marked inside the pack the two comparisons I trust least, so no one leans on them harder than they will bear.</w:t>
      </w:r>
    </w:p>
    <w:p>
      <w:pPr>
        <w:pStyle w:val="ListBullet"/>
      </w:pPr>
      <w:r>
        <w:t>Questions at the edge of the scope. One or two of your managers have raised pricing questions inside individual units that fall just outside the portfolio work. We have logged them and set them aside; if any becomes something you want us to take on, we will price it up front before doing any of it.</w:t>
      </w:r>
    </w:p>
    <w:p>
      <w:r>
        <w:t>So we come into the last stretch with the analysis settled and only the readout to give. If these final weeks go the way the recent ones have, the recommendation will reach your board with room to consider it properly, which is what we were after in bringing our thinking to you in stages as it firmed up. I will keep the request log open until we close the engagement. If anything here raises a question, call me and we will talk it through before the board session.</w:t>
      </w:r>
    </w:p>
    <w:p>
      <w:r>
        <w:t>Steven Hunt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Portfolio Strategy for Garza, Leblanc and Porter</dc:title>
  <dc:subject/>
  <dc:creator>Steven Hunt</dc:creator>
  <cp:keywords/>
  <dc:description>generated by python-docx</dc:description>
  <cp:lastModifiedBy>Steven Hunt</cp:lastModifiedBy>
  <cp:revision>1</cp:revision>
  <dcterms:created xsi:type="dcterms:W3CDTF">2019-11-25T09:00:00Z</dcterms:created>
  <dcterms:modified xsi:type="dcterms:W3CDTF">2019-11-25T09:00:00Z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