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r>
        <w:t>Working session on the pricing strategy for Garza, Leblanc and Porter, held at the client's offices. Minutes taken by Brenda Rodriguez.</w:t>
      </w:r>
    </w:p>
    <w:p>
      <w:pPr>
        <w:pStyle w:val="Heading2"/>
      </w:pPr>
      <w:r>
        <w:t>Present</w:t>
      </w:r>
    </w:p>
    <w:p>
      <w:pPr>
        <w:pStyle w:val="ListBullet"/>
      </w:pPr>
      <w:r>
        <w:t>Brenda Rodriguez, Senior Consultant</w:t>
      </w:r>
    </w:p>
    <w:p>
      <w:pPr>
        <w:pStyle w:val="ListBullet"/>
      </w:pPr>
      <w:r>
        <w:t>Mary Parker, Research Associate</w:t>
      </w:r>
    </w:p>
    <w:p>
      <w:pPr>
        <w:pStyle w:val="ListBullet"/>
      </w:pPr>
      <w:r>
        <w:t>Deborah Gordon, Associate</w:t>
      </w:r>
    </w:p>
    <w:p>
      <w:pPr>
        <w:pStyle w:val="ListBullet"/>
      </w:pPr>
      <w:r>
        <w:t>Barbara Ward, Director of Operations, Garza, Leblanc and Porter</w:t>
      </w:r>
    </w:p>
    <w:p>
      <w:pPr>
        <w:pStyle w:val="Heading2"/>
      </w:pPr>
      <w:r>
        <w:t>Matters discussed</w:t>
      </w:r>
    </w:p>
    <w:p>
      <w:r>
        <w:t>The session reviewed the price realization diagnostic and the first read on margin. We are far enough in to show a measured realization figure and a margin picture by account and product line. These are findings, and I labeled them as such at the start, but two of them still carry qualifications, which I set out below.</w:t>
      </w:r>
    </w:p>
    <w:p>
      <w:r>
        <w:t>Before the analysis, Mary Parker summarized the state of the data. The invoice, rebate, and allowance files are now in and reconciled, with one exception: the freight terms for a block of smaller accounts arrived in a format we are still normalizing. She was careful to separate what is confirmed from what is still being cleaned, and none of the findings below depend on the block that remains outstanding.</w:t>
      </w:r>
    </w:p>
    <w:p>
      <w:r>
        <w:t>The realization work is complete for the two years of data we were given. The gap between list price and collected price is wider than the client had assumed, and most of it is not the visible line discount. It is the accumulation of rebates, allowances, freight terms, and off-invoice adjustments that no single person sees in one place. I would put weight on this figure. It reconciles to the invoice data, and Mary Parker holds the source for every component.</w:t>
      </w:r>
    </w:p>
    <w:p>
      <w:r>
        <w:t>Deborah Gordon presented the margin view. Margin varies more by account than by product, which points the remedy toward how the company prices customers rather than how it prices goods. One qualification holds. A set of large-account allowances sits off the standard price sheets, and until we confirm how each was authorized, the margin on those accounts is stated within a range rather than as a single number. Barbara Ward agreed to have her commercial staff walk us through the origin of the three largest.</w:t>
      </w:r>
    </w:p>
    <w:p>
      <w:r>
        <w:t>Deborah Gordon also reported on the pricing-authority interviews. She has finished four of the planned conversations and can already describe how a quote moves from request to commitment. Two points are visible: discount authority runs further down the sales organization than the client's own guidelines suggest, and there is no single point at which a discount above a threshold is reviewed before it is granted. She will complete the remaining interviews before committing that pattern to writing.</w:t>
      </w:r>
    </w:p>
    <w:p>
      <w:r>
        <w:t>I want one assumption on the record before it hardens. The realization figure rests on the last two years being representative. Barbara Ward noted that one of those years included a stretch of unusual discounting to hold volume. We will test whether that stretch distorts the picture before any recommendation leans on the two-year average. Mary Parker will isolate the period so we can see the figure with and without it.</w:t>
      </w:r>
    </w:p>
    <w:p>
      <w:r>
        <w:t>We did not discuss recommendations today, and I said at the outset that we would not. The client asked for an early view of how much of the realization gap is recoverable. I declined to give a number. The gap is measured; how much of it can be closed depends on the pricing-authority work and the allowance review, and neither is finished. A figure offered now would be a guess, and it would anchor the client to something we might have to walk back.</w:t>
      </w:r>
    </w:p>
    <w:p>
      <w:pPr>
        <w:pStyle w:val="Heading2"/>
      </w:pPr>
      <w:r>
        <w:t>Action items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Pricing Strategy for Garza, Leblanc and Porter (draft)</dc:title>
  <dc:subject/>
  <dc:creator>Brenda Rodriguez</dc:creator>
  <cp:keywords/>
  <dc:description>generated by python-docx</dc:description>
  <cp:lastModifiedBy>Brenda Rodriguez</cp:lastModifiedBy>
  <cp:revision>1</cp:revision>
  <dcterms:created xsi:type="dcterms:W3CDTF">2009-09-17T09:00:00Z</dcterms:created>
  <dcterms:modified xsi:type="dcterms:W3CDTF">2009-09-17T09:00:00Z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