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a working session on the pricing engagement for Garza, Leblanc and Porter, recorded by Brenda Rodriguez. The session reviewed the near-final pricing recommendations with the client and settled what remains before we deliver. The notes follow in the order the meeting took the material.</w:t>
      </w:r>
    </w:p>
    <w:p>
      <w:pPr>
        <w:pStyle w:val="Heading2"/>
      </w:pPr>
      <w:r>
        <w:t>Present</w:t>
      </w:r>
    </w:p>
    <w:p>
      <w:pPr>
        <w:pStyle w:val="ListBullet"/>
      </w:pPr>
      <w:r>
        <w:t>Brenda Rodriguez, Senior Consultant</w:t>
      </w:r>
    </w:p>
    <w:p>
      <w:pPr>
        <w:pStyle w:val="ListBullet"/>
      </w:pPr>
      <w:r>
        <w:t>Mary Parker, Research Associate</w:t>
      </w:r>
    </w:p>
    <w:p>
      <w:pPr>
        <w:pStyle w:val="ListBullet"/>
      </w:pPr>
      <w:r>
        <w:t>Deborah Gordon, Associate</w:t>
      </w:r>
    </w:p>
    <w:p>
      <w:pPr>
        <w:pStyle w:val="ListBullet"/>
      </w:pPr>
      <w:r>
        <w:t>Barbara Ward, Director of Operations, Garza, Leblanc and Porter</w:t>
      </w:r>
    </w:p>
    <w:p>
      <w:pPr>
        <w:pStyle w:val="Heading2"/>
      </w:pPr>
      <w:r>
        <w:t>Review of the recommendations</w:t>
      </w:r>
    </w:p>
    <w:p>
      <w:r>
        <w:t>Brenda Rodriguez walked the group through the recommendations as they now stand. The core of the proposal has not changed from the last draft: segment-level pricing guidance, a tighter structure for approving discounts, and specific corrections on the dozen accounts where price realization has drifted furthest below the average of the book. The supporting numbers are now complete. The two rebate months that were open at the last status are reconciled, and with them in place the concentration finding holds at the account level rather than only at the segment total. Barbara Ward accepted the diagnosis and did not contest the account list. Brenda Rodriguez was careful to note that the estimated benefit assumes the approval structure is actually enforced, which is a matter of execution and not of analysis, and she asked that the benefit be carried as a range until the transition is designed.</w:t>
      </w:r>
    </w:p>
    <w:p>
      <w:pPr>
        <w:pStyle w:val="Heading2"/>
      </w:pPr>
      <w:r>
        <w:t>Making it work day to day</w:t>
      </w:r>
    </w:p>
    <w:p>
      <w:r>
        <w:t>Barbara Ward raised the practical side. Her concern was less with the pricing logic than with how the approval structure would run in practice: who signs off on an exception, how long an approval takes, and what becomes of a quote already sitting in a customer's hands when the new guidance takes effect. Mary Parker had the transaction detail at hand and confirmed that roughly one quote in six now in circulation would fall outside the proposed guidance, a larger share than Barbara Ward had assumed. The group agreed the rollout needs a defined transition period rather than a hard cutover, and that an exception has to clear within a day or the field will route around it. Deborah Gordon reported on the two commercial managers she and Mary Parker had sat with earlier in the week. Both accepted the logic of segment-level guidance but pushed back on removing discretion entirely on the smallest accounts, where the cost of processing an approval exceeds the price at stake. Brenda Rodriguez agreed to set a threshold below which the existing discretion stands and to size that threshold from the transaction data rather than pick it by feel.</w:t>
      </w:r>
    </w:p>
    <w:p>
      <w:pPr>
        <w:pStyle w:val="Heading2"/>
      </w:pPr>
      <w:r>
        <w:t>Open before delivery</w:t>
      </w:r>
    </w:p>
    <w:p>
      <w:r>
        <w:t>Two questions remain before the final material is ready. Deborah Gordon is redrafting the recommendation summary so that the segment guidance reads as instructions a sales manager can act on, not as analysis he has to interpret. And the transition Barbara Ward asked for has to be written into the plan with specific dates, which depends on when Garza, Leblanc and Porter means to communicate the change to its own people. Barbara Ward will confirm that timing.</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Lock the account corrections now that the rebate detail is reconciled</w:t>
            </w:r>
          </w:p>
        </w:tc>
        <w:tc>
          <w:tcPr>
            <w:tcW w:type="dxa" w:w="2880"/>
          </w:tcPr>
          <w:p>
            <w:r>
              <w:t>Brenda Rodriguez</w:t>
            </w:r>
          </w:p>
        </w:tc>
        <w:tc>
          <w:tcPr>
            <w:tcW w:type="dxa" w:w="2880"/>
          </w:tcPr>
          <w:p>
            <w:r>
              <w:t>This week</w:t>
            </w:r>
          </w:p>
        </w:tc>
      </w:tr>
      <w:tr>
        <w:tc>
          <w:tcPr>
            <w:tcW w:type="dxa" w:w="2880"/>
          </w:tcPr>
          <w:p>
            <w:r>
              <w:t>Size the small-account threshold below which existing discretion stands</w:t>
            </w:r>
          </w:p>
        </w:tc>
        <w:tc>
          <w:tcPr>
            <w:tcW w:type="dxa" w:w="2880"/>
          </w:tcPr>
          <w:p>
            <w:r>
              <w:t>Brenda Rodriguez</w:t>
            </w:r>
          </w:p>
        </w:tc>
        <w:tc>
          <w:tcPr>
            <w:tcW w:type="dxa" w:w="2880"/>
          </w:tcPr>
          <w:p>
            <w:r>
              <w:t>Before the final draft</w:t>
            </w:r>
          </w:p>
        </w:tc>
      </w:tr>
      <w:tr>
        <w:tc>
          <w:tcPr>
            <w:tcW w:type="dxa" w:w="2880"/>
          </w:tcPr>
          <w:p>
            <w:r>
              <w:t>Redraft the recommendation summary as manager-level guidance</w:t>
            </w:r>
          </w:p>
        </w:tc>
        <w:tc>
          <w:tcPr>
            <w:tcW w:type="dxa" w:w="2880"/>
          </w:tcPr>
          <w:p>
            <w:r>
              <w:t>Deborah Gordon</w:t>
            </w:r>
          </w:p>
        </w:tc>
        <w:tc>
          <w:tcPr>
            <w:tcW w:type="dxa" w:w="2880"/>
          </w:tcPr>
          <w:p>
            <w:r>
              <w:t>Before the final draft</w:t>
            </w:r>
          </w:p>
        </w:tc>
      </w:tr>
      <w:tr>
        <w:tc>
          <w:tcPr>
            <w:tcW w:type="dxa" w:w="2880"/>
          </w:tcPr>
          <w:p>
            <w:r>
              <w:t>Pull the full list of open quotes that fall outside the proposed guidance</w:t>
            </w:r>
          </w:p>
        </w:tc>
        <w:tc>
          <w:tcPr>
            <w:tcW w:type="dxa" w:w="2880"/>
          </w:tcPr>
          <w:p>
            <w:r>
              <w:t>Mary Parker</w:t>
            </w:r>
          </w:p>
        </w:tc>
        <w:tc>
          <w:tcPr>
            <w:tcW w:type="dxa" w:w="2880"/>
          </w:tcPr>
          <w:p>
            <w:r>
              <w:t>This week</w:t>
            </w:r>
          </w:p>
        </w:tc>
      </w:tr>
      <w:tr>
        <w:tc>
          <w:tcPr>
            <w:tcW w:type="dxa" w:w="2880"/>
          </w:tcPr>
          <w:p>
            <w:r>
              <w:t>Confirm the internal communication timing so the transition dates can be set</w:t>
            </w:r>
          </w:p>
        </w:tc>
        <w:tc>
          <w:tcPr>
            <w:tcW w:type="dxa" w:w="2880"/>
          </w:tcPr>
          <w:p>
            <w:r>
              <w:t>Barbara Ward</w:t>
            </w:r>
          </w:p>
        </w:tc>
        <w:tc>
          <w:tcPr>
            <w:tcW w:type="dxa" w:w="2880"/>
          </w:tcPr>
          <w:p>
            <w:r>
              <w:t>By the next session</w:t>
            </w:r>
          </w:p>
        </w:tc>
      </w:tr>
    </w:tbl>
    <w:p>
      <w:r>
        <w:t>The next working session will be set once Barbara Ward confirms the communication timing.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Strategy for Garza, Leblanc and Porter</dc:title>
  <dc:subject/>
  <dc:creator>Brenda Rodriguez</dc:creator>
  <cp:keywords/>
  <dc:description>generated by python-docx</dc:description>
  <cp:lastModifiedBy>Brenda Rodriguez</cp:lastModifiedBy>
  <cp:revision>1</cp:revision>
  <dcterms:created xsi:type="dcterms:W3CDTF">2009-12-16T09:00:00Z</dcterms:created>
  <dcterms:modified xsi:type="dcterms:W3CDTF">2009-12-16T09:00:00Z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