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Minutes of the working session on the portfolio strategy for Garza, Leblanc and Porter, held at the client's offices. Recorded by Melissa Casey.</w:t>
      </w:r>
    </w:p>
    <w:p>
      <w:pPr>
        <w:pStyle w:val="Heading2"/>
      </w:pPr>
      <w:r>
        <w:t>Attendees</w:t>
      </w:r>
    </w:p>
    <w:p>
      <w:pPr>
        <w:pStyle w:val="ListBullet"/>
      </w:pPr>
      <w:r>
        <w:t>Melissa Casey, Research Associate</w:t>
      </w:r>
    </w:p>
    <w:p>
      <w:pPr>
        <w:pStyle w:val="ListBullet"/>
      </w:pPr>
      <w:r>
        <w:t>Steven Hunt, Research Associate</w:t>
      </w:r>
    </w:p>
    <w:p>
      <w:pPr>
        <w:pStyle w:val="ListBullet"/>
      </w:pPr>
      <w:r>
        <w:t>Barbara Ward, Director of Operations, Garza, Leblanc and Porter</w:t>
      </w:r>
    </w:p>
    <w:p>
      <w:pPr>
        <w:pStyle w:val="Heading2"/>
      </w:pPr>
      <w:r>
        <w:t>What we covered</w:t>
      </w:r>
    </w:p>
    <w:p>
      <w:r>
        <w:t>The session reviewed where each of the three workstreams stands and settled a handful of open definitions. We are far enough in to place real numbers against each business, but not yet at the point of a portfolio recommendation, which I said at the start.</w:t>
      </w:r>
    </w:p>
    <w:p>
      <w:r>
        <w:t>Steven Hunt walked through the inside read. The common financial picture is now built for the larger businesses and reconciles to the figures the operations team supplied; two of the smaller units are still being normalized, because their segment margins arrived late. He kept what is confirmed apart from what is still being cleaned, and nothing discussed today rests on the units that remain open.</w:t>
      </w:r>
    </w:p>
    <w:p>
      <w:r>
        <w:t>On the market read, Steven Hunt reported that the two largest units sit in markets moving at very different speeds, and that one of them looks stronger on its internal numbers than its market is likely to support. He marked that as a working read rather than a conclusion, pending the competitor detail still to come in.</w:t>
      </w:r>
    </w:p>
    <w:p>
      <w:r>
        <w:t>I presented the outside benchmark. Against comparable companies, the group's margins are middling in two businesses and clearly below reference in a third. I set out where each comparison is firm and where it rests on a thin set of references, and where the reference base is thin I said so rather than smoothing it over.</w:t>
      </w:r>
    </w:p>
    <w:p>
      <w:r>
        <w:t>One figure still carries a caveat. The margin for the third business depends on an allocation of shared overhead that the group makes one way and that comparable companies make another; until we restate it on a like-for-like basis, the gap to the benchmark is stated as a range rather than a single number. Barbara Ward agreed to have her finance contact confirm how the overhead is currently allocated.</w:t>
      </w:r>
    </w:p>
    <w:p>
      <w:r>
        <w:t>Barbara Ward's main question was whether the smaller units could be set aside for now so that the work concentrates on the businesses that carry most of the group's capital. We agreed that the smaller units stay in the baseline for completeness but will not hold up the portfolio map, and that her team would supply the outstanding segment margins together with a first list of competitors for the two large units.</w:t>
      </w:r>
    </w:p>
    <w:p>
      <w:r>
        <w:t>We also touched on sequencing. With the larger businesses now measured and the two smaller units close behind, the natural next block of work is the portfolio map. Steven Hunt and I agreed to hold the map back until the competitor detail for the two large units is in, so that the position axis is not built on a partial view, and Barbara Ward had no objection to that order.</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By</w:t>
            </w:r>
          </w:p>
        </w:tc>
      </w:tr>
      <w:tr>
        <w:tc>
          <w:tcPr>
            <w:tcW w:type="dxa" w:w="2880"/>
          </w:tcPr>
          <w:p>
            <w:r>
              <w:t>Deliver the outstanding segment margins for the smaller businesses and confirm the overhead allocation</w:t>
            </w:r>
          </w:p>
        </w:tc>
        <w:tc>
          <w:tcPr>
            <w:tcW w:type="dxa" w:w="2880"/>
          </w:tcPr>
          <w:p>
            <w:r>
              <w:t>Barbara Ward</w:t>
            </w:r>
          </w:p>
        </w:tc>
        <w:tc>
          <w:tcPr>
            <w:tcW w:type="dxa" w:w="2880"/>
          </w:tcPr>
          <w:p>
            <w:r>
              <w:t>Within two weeks</w:t>
            </w:r>
          </w:p>
        </w:tc>
      </w:tr>
      <w:tr>
        <w:tc>
          <w:tcPr>
            <w:tcW w:type="dxa" w:w="2880"/>
          </w:tcPr>
          <w:p>
            <w:r>
              <w:t>Normalize the two smaller units into the common financial picture</w:t>
            </w:r>
          </w:p>
        </w:tc>
        <w:tc>
          <w:tcPr>
            <w:tcW w:type="dxa" w:w="2880"/>
          </w:tcPr>
          <w:p>
            <w:r>
              <w:t>Steven Hunt</w:t>
            </w:r>
          </w:p>
        </w:tc>
        <w:tc>
          <w:tcPr>
            <w:tcW w:type="dxa" w:w="2880"/>
          </w:tcPr>
          <w:p>
            <w:r>
              <w:t>Before the next session</w:t>
            </w:r>
          </w:p>
        </w:tc>
      </w:tr>
      <w:tr>
        <w:tc>
          <w:tcPr>
            <w:tcW w:type="dxa" w:w="2880"/>
          </w:tcPr>
          <w:p>
            <w:r>
              <w:t>Firm up the outside benchmark for the third business and widen its reference base</w:t>
            </w:r>
          </w:p>
        </w:tc>
        <w:tc>
          <w:tcPr>
            <w:tcW w:type="dxa" w:w="2880"/>
          </w:tcPr>
          <w:p>
            <w:r>
              <w:t>Melissa Casey</w:t>
            </w:r>
          </w:p>
        </w:tc>
        <w:tc>
          <w:tcPr>
            <w:tcW w:type="dxa" w:w="2880"/>
          </w:tcPr>
          <w:p>
            <w:r>
              <w:t>Before the next session</w:t>
            </w:r>
          </w:p>
        </w:tc>
      </w:tr>
      <w:tr>
        <w:tc>
          <w:tcPr>
            <w:tcW w:type="dxa" w:w="2880"/>
          </w:tcPr>
          <w:p>
            <w:r>
              <w:t>Begin the competitive read on the two largest units</w:t>
            </w:r>
          </w:p>
        </w:tc>
        <w:tc>
          <w:tcPr>
            <w:tcW w:type="dxa" w:w="2880"/>
          </w:tcPr>
          <w:p>
            <w:r>
              <w:t>Steven Hunt</w:t>
            </w:r>
          </w:p>
        </w:tc>
        <w:tc>
          <w:tcPr>
            <w:tcW w:type="dxa" w:w="2880"/>
          </w:tcPr>
          <w:p>
            <w:r>
              <w:t>Before the next session</w:t>
            </w:r>
          </w:p>
        </w:tc>
      </w:tr>
      <w:tr>
        <w:tc>
          <w:tcPr>
            <w:tcW w:type="dxa" w:w="2880"/>
          </w:tcPr>
          <w:p>
            <w:r>
              <w:t>Set the next working session once the items above are in hand</w:t>
            </w:r>
          </w:p>
        </w:tc>
        <w:tc>
          <w:tcPr>
            <w:tcW w:type="dxa" w:w="2880"/>
          </w:tcPr>
          <w:p>
            <w:r>
              <w:t>Melissa Casey</w:t>
            </w:r>
          </w:p>
        </w:tc>
        <w:tc>
          <w:tcPr>
            <w:tcW w:type="dxa" w:w="2880"/>
          </w:tcPr>
          <w:p>
            <w:r>
              <w:t>On completion of the above</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Portfolio Strategy for Garza, Leblanc and Porter</dc:title>
  <dc:subject/>
  <dc:creator>Melissa Casey</dc:creator>
  <cp:keywords/>
  <dc:description>generated by python-docx</dc:description>
  <cp:lastModifiedBy>Melissa Casey</cp:lastModifiedBy>
  <cp:revision>1</cp:revision>
  <dcterms:created xsi:type="dcterms:W3CDTF">2019-07-02T09:00:00Z</dcterms:created>
  <dcterms:modified xsi:type="dcterms:W3CDTF">2019-07-02T09:00:00Z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