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Notes from the working session on the portfolio strategy for Garza, Leblanc and Porter, at the client's offices. Recorded by Melissa Casey.</w:t>
      </w:r>
    </w:p>
    <w:p>
      <w:pPr>
        <w:pStyle w:val="Heading2"/>
      </w:pPr>
      <w:r>
        <w:t>Present</w:t>
      </w:r>
    </w:p>
    <w:p>
      <w:pPr>
        <w:pStyle w:val="ListBullet"/>
      </w:pPr>
      <w:r>
        <w:t>Melissa Casey, Research Associate</w:t>
      </w:r>
    </w:p>
    <w:p>
      <w:pPr>
        <w:pStyle w:val="ListBullet"/>
      </w:pPr>
      <w:r>
        <w:t>Steven Hunt, Research Associate</w:t>
      </w:r>
    </w:p>
    <w:p>
      <w:pPr>
        <w:pStyle w:val="ListBullet"/>
      </w:pPr>
      <w:r>
        <w:t>Barbara Ward, Director of Operations, Garza, Leblanc and Porter</w:t>
      </w:r>
    </w:p>
    <w:p>
      <w:pPr>
        <w:pStyle w:val="Heading2"/>
      </w:pPr>
      <w:r>
        <w:t>Discussion</w:t>
      </w:r>
    </w:p>
    <w:p>
      <w:r>
        <w:t>This session was about choosing among the portfolio options, not building them. The map of the businesses has held up through testing, and the purpose today was to put the choices in front of Barbara Ward and walk the trade-offs before we commit to a single recommendation.</w:t>
      </w:r>
    </w:p>
    <w:p>
      <w:r>
        <w:t>Steven Hunt presented the portfolio map. Two businesses fall in the invest quadrant, with a strong position in markets that are still growing; two sit in hold, sound enough but in markets that are flat; and one lands in the fix-or-exit corner, a weak position in a market that is not helping it. He noted that the placement does not change when we set aside the last twelve months for a more normal year, which gives us some confidence the map is not resting on an unusual period.</w:t>
      </w:r>
    </w:p>
    <w:p>
      <w:r>
        <w:t>We spent most of the hour on the two hold businesses, because they are the ones where reasonable people could disagree. Both earn their keep today, but one competes in a market that comparable companies are quietly leaving, and the question is whether hold there really means hold and watch. Steven Hunt's view was that it does, provided the group sets a marker now for what would move that unit into the fix-or-exit column later. I noted where the outside references support that reading and where they are still too thin to lean on.</w:t>
      </w:r>
    </w:p>
    <w:p>
      <w:r>
        <w:t>I confirmed that every business on the map traces to both an inside figure and an outside comparable, and that the reference base for the smallest unit, thin at the last session, is now wide enough to rely on. There are no open benchmark items on our side.</w:t>
      </w:r>
    </w:p>
    <w:p>
      <w:r>
        <w:t>On the fix-or-exit unit, I laid out the outside comparables once more, so that the group could see the judgment is not ours alone. Comparable companies in that market carry both thinner margins and slower growth than the group's other businesses, and several have narrowed or left the line over the last few years. That is the reference base behind placing the unit in that corner, and I marked the two references I would treat as the weakest of the set.</w:t>
      </w:r>
    </w:p>
    <w:p>
      <w:r>
        <w:t>Barbara Ward's read was that the board will move on the two invest businesses without much argument, but will not accept a recommendation to exit the weakest unit without a clearer account of what leaving it in place would cost the group over the next few years. She asked us to develop that before we recommend, and was comfortable treating the two hold businesses as steady for now.</w:t>
      </w:r>
    </w:p>
    <w:p>
      <w:r>
        <w:t>Before we closed, we settled the shape of the final readout. Barbara Ward preferred a short recommendation for the board, with the full portfolio map and the benchmark detail behind it as an appendix, so that the reasoning is on hand without crowding the decision. We will build the final material to that shape.</w:t>
      </w:r>
    </w:p>
    <w:p>
      <w:pPr>
        <w:pStyle w:val="Heading2"/>
      </w:pPr>
      <w:r>
        <w:t>Actions</w:t>
      </w:r>
    </w:p>
    <w:p>
      <w:pPr>
        <w:pStyle w:val="ListBullet"/>
      </w:pPr>
      <w:r>
        <w:t>Steven Hunt: cost the case for leaving the weakest unit in place over the next few years, as the counterweight to an exit recommendation. Before the final session.</w:t>
      </w:r>
    </w:p>
    <w:p>
      <w:pPr>
        <w:pStyle w:val="ListBullet"/>
      </w:pPr>
      <w:r>
        <w:t>Melissa Casey: assemble the final exhibit pack and confirm every business ties to both an inside figure and an outside comparable. Before the final session.</w:t>
      </w:r>
    </w:p>
    <w:p>
      <w:pPr>
        <w:pStyle w:val="ListBullet"/>
      </w:pPr>
      <w:r>
        <w:t>Steven Hunt: firm up the recommendation on the two invest businesses so that it can be put to the board at the right level. Before the final session.</w:t>
      </w:r>
    </w:p>
    <w:p>
      <w:pPr>
        <w:pStyle w:val="ListBullet"/>
      </w:pPr>
      <w:r>
        <w:t>Barbara Ward: confirm the board's appetite for an exit so that the recommendation on the weakest unit is pitched realistically. Within two weeks.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Portfolio Strategy for Garza, Leblanc and Porter</dc:title>
  <dc:subject/>
  <dc:creator>Melissa Casey</dc:creator>
  <cp:keywords/>
  <dc:description>generated by python-docx</dc:description>
  <cp:lastModifiedBy>Melissa Casey</cp:lastModifiedBy>
  <cp:revision>1</cp:revision>
  <dcterms:created xsi:type="dcterms:W3CDTF">2019-09-30T09:00:00Z</dcterms:created>
  <dcterms:modified xsi:type="dcterms:W3CDTF">2019-09-30T09:00:00Z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