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Brenda Rodriguez, Jeffrey Jackson</w:t>
        <w:br/>
        <w:t>From: Jason Torres</w:t>
        <w:br/>
        <w:t>Re: Hughes Group operating model redesign, kickoff and staffing</w:t>
      </w:r>
    </w:p>
    <w:p>
      <w:r>
        <w:t>The letter is countersigned and we are on the clock as of May 18, 2008. The job is to redesign how Hughes Group is organized to run and to hand the client a structure, a set of decision rights, and a roadmap they can act on. Eight months, three deliverables: a diagnostic of the current model, a target operating model, and an implementation roadmap. We build the case from the client's own charts and their own numbers, so that when we recommend a change the evidence for it is theirs and not ours. Our client contact is Linda Gallegos, the CFO, and she is the single door. Everything that goes to the client goes through Linda Gallegos, and nobody on this team calls a business-unit head without her knowing first.</w:t>
      </w:r>
    </w:p>
    <w:p>
      <w:r>
        <w:t>A word on the boundary, because it will be tested. We recommend on people; we do not decide on them, and we do not carry out headcount actions. Systems, tax, and legal restructuring are outside this engagement. If any of that gets asked for in a corridor, the answer is that we will scope it, not that we have started it.</w:t>
      </w:r>
    </w:p>
    <w:p>
      <w:pPr>
        <w:pStyle w:val="Heading2"/>
      </w:pPr>
      <w:r>
        <w:t>Lines of Work</w:t>
      </w:r>
    </w:p>
    <w:p>
      <w:pPr>
        <w:pStyle w:val="ListBullet"/>
      </w:pPr>
      <w:r>
        <w:t>Current-state map. Brenda Rodriguez owns the structure and the decision-rights map: who reports where, who decides what, and where the same decision is made twice. Build it from the charts and the interviews, not from what people say the chart is supposed to be.</w:t>
      </w:r>
    </w:p>
    <w:p>
      <w:pPr>
        <w:pStyle w:val="ListBullet"/>
      </w:pPr>
      <w:r>
        <w:t>Cost baseline. Brenda Rodriguez ties the cost of the current structure to the management accounts, by function and by layer. If a number does not tie, that gap is a finding, and I want it flagged in the first pass, not buried in the third.</w:t>
      </w:r>
    </w:p>
    <w:p>
      <w:pPr>
        <w:pStyle w:val="ListBullet"/>
      </w:pPr>
      <w:r>
        <w:t>Target model design. I own this. Structure, decision rights, and the governance to hold them, built for where the business is going. Nothing here reaches the client until the diagnostic supports it.</w:t>
      </w:r>
    </w:p>
    <w:p>
      <w:pPr>
        <w:pStyle w:val="ListBullet"/>
      </w:pPr>
      <w:r>
        <w:t>Roadmap and sequencing. I own this with Brenda Rodriguez. Which changes come first, what each one returns, and what it takes to land it.</w:t>
      </w:r>
    </w:p>
    <w:p>
      <w:pPr>
        <w:pStyle w:val="ListBullet"/>
      </w:pPr>
      <w:r>
        <w:t>Staffing and schedule. Jeffrey Jackson has us covered through the diagnostic. If the interview load grows past what we planned, tell Jeffrey Jackson before it becomes a scheduling problem, not after.</w:t>
      </w:r>
    </w:p>
    <w:p>
      <w:pPr>
        <w:pStyle w:val="ListBullet"/>
      </w:pPr>
      <w:r>
        <w:t>Client cadence. I own the line to the client. A written status goes to Linda Gallegos every two weeks, and it goes out even in the weeks when the news is thin, because a client who hears from us only when there is good news stops trusting the quiet weeks.</w:t>
      </w:r>
    </w:p>
    <w:p>
      <w:pPr>
        <w:pStyle w:val="Heading2"/>
      </w:pPr>
      <w:r>
        <w:t>This Week</w:t>
      </w:r>
    </w:p>
    <w:p>
      <w:pPr>
        <w:pStyle w:val="ListBullet"/>
      </w:pPr>
      <w:r>
        <w:t>Brenda Rodriguez drafts the data request, itemized, with the account mapping we need and the field definitions attached, and I send it to Linda Gallegos by Thursday.</w:t>
      </w:r>
    </w:p>
    <w:p>
      <w:pPr>
        <w:pStyle w:val="ListBullet"/>
      </w:pPr>
      <w:r>
        <w:t>We agree the interview list, name by name, before we ask the client for a single calendar slot, so we are not renegotiating access once the on-site weeks have started.</w:t>
      </w:r>
    </w:p>
    <w:p>
      <w:pPr>
        <w:pStyle w:val="ListBullet"/>
      </w:pPr>
      <w:r>
        <w:t>Jeffrey Jackson confirms the rooms and the schedule for the on-site weeks and holds a half-day of slack for the interviews that always slip.</w:t>
      </w:r>
    </w:p>
    <w:p>
      <w:pPr>
        <w:pStyle w:val="ListBullet"/>
      </w:pPr>
      <w:r>
        <w:t>Nobody quotes a structure or a number to anyone at Hughes Group until the baseline reconciles.</w:t>
      </w:r>
    </w:p>
    <w:p>
      <w:r>
        <w:t>One thing I need settled by Friday: the data request and the interview list, both agreed and both out the door to Linda Gallegos. We do not want to start the on-site work negotiating access we should have locked down this week.</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Operating Model Redesign for Hughes Group</dc:title>
  <dc:subject/>
  <dc:creator>Jason Torres</dc:creator>
  <cp:keywords/>
  <dc:description>generated by python-docx</dc:description>
  <cp:lastModifiedBy>Jason Torres</cp:lastModifiedBy>
  <cp:revision>1</cp:revision>
  <dcterms:created xsi:type="dcterms:W3CDTF">2008-05-21T09:00:00Z</dcterms:created>
  <dcterms:modified xsi:type="dcterms:W3CDTF">2008-05-21T09:00:00Z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