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Operating Model Redesign for Hughes Group</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Engagement</w:t>
            </w:r>
          </w:p>
        </w:tc>
        <w:tc>
          <w:tcPr>
            <w:tcW w:type="dxa" w:w="4320"/>
          </w:tcPr>
          <w:p>
            <w:r>
              <w:t>Operating Model Redesign</w:t>
            </w:r>
          </w:p>
        </w:tc>
      </w:tr>
      <w:tr>
        <w:tc>
          <w:tcPr>
            <w:tcW w:type="dxa" w:w="4320"/>
          </w:tcPr>
          <w:p>
            <w:r>
              <w:t>Client</w:t>
            </w:r>
          </w:p>
        </w:tc>
        <w:tc>
          <w:tcPr>
            <w:tcW w:type="dxa" w:w="4320"/>
          </w:tcPr>
          <w:p>
            <w:r>
              <w:t>Hughes Group</w:t>
            </w:r>
          </w:p>
        </w:tc>
      </w:tr>
      <w:tr>
        <w:tc>
          <w:tcPr>
            <w:tcW w:type="dxa" w:w="4320"/>
          </w:tcPr>
          <w:p>
            <w:r>
              <w:t>Prepared for</w:t>
            </w:r>
          </w:p>
        </w:tc>
        <w:tc>
          <w:tcPr>
            <w:tcW w:type="dxa" w:w="4320"/>
          </w:tcPr>
          <w:p>
            <w:r>
              <w:t>Hughes Group leadership</w:t>
            </w:r>
          </w:p>
        </w:tc>
      </w:tr>
      <w:tr>
        <w:tc>
          <w:tcPr>
            <w:tcW w:type="dxa" w:w="4320"/>
          </w:tcPr>
          <w:p>
            <w:r>
              <w:t>Prepared by</w:t>
            </w:r>
          </w:p>
        </w:tc>
        <w:tc>
          <w:tcPr>
            <w:tcW w:type="dxa" w:w="4320"/>
          </w:tcPr>
          <w:p>
            <w:r>
              <w:t>Jason Torres, Principal, Calderwood Partners</w:t>
            </w:r>
          </w:p>
        </w:tc>
      </w:tr>
      <w:tr>
        <w:tc>
          <w:tcPr>
            <w:tcW w:type="dxa" w:w="4320"/>
          </w:tcPr>
          <w:p>
            <w:r>
              <w:t>Position</w:t>
            </w:r>
          </w:p>
        </w:tc>
        <w:tc>
          <w:tcPr>
            <w:tcW w:type="dxa" w:w="4320"/>
          </w:tcPr>
          <w:p>
            <w:r>
              <w:t>Midpoint of the engagement</w:t>
            </w:r>
          </w:p>
        </w:tc>
      </w:tr>
    </w:tbl>
    <w:p>
      <w:pPr>
        <w:pStyle w:val="Heading2"/>
      </w:pPr>
      <w:r>
        <w:t>Where the work stands</w:t>
      </w:r>
    </w:p>
    <w:p>
      <w:r>
        <w:t>We are at the midpoint of the operating model redesign for Hughes Group, and the work is on plan. The current-state analysis is finished, the design principles are agreed and signed off by your team, and we now have two viable target models costed against the same baseline. My recommendation is stated up front so that the rest of this report supports it rather than builds to it: adopt the consolidated model organized around shared services, and spend the second half of the engagement making it executable rather than reopening the choice. The sections below give you the basis for that recommendation and the risks that come with it.</w:t>
      </w:r>
    </w:p>
    <w:p>
      <w:pPr>
        <w:pStyle w:val="Heading2"/>
      </w:pPr>
      <w:r>
        <w:t>Completed in this period</w:t>
      </w:r>
    </w:p>
    <w:p>
      <w:r>
        <w:t>The first half of the engagement produced the evidence the design rests on. Brenda Rodriguez led the cost and organization analysis, and the figures are now yours rather than ours, reconciled to your general ledger and your headcount records instead of to any estimate we brought in. The following are complete:</w:t>
      </w:r>
    </w:p>
    <w:p>
      <w:pPr>
        <w:pStyle w:val="ListBullet"/>
      </w:pPr>
      <w:r>
        <w:t>A baseline cost model across the operating units, built from your own figures and tied back to the trial balance, so that every line can be traced to a source you already trust.</w:t>
      </w:r>
    </w:p>
    <w:p>
      <w:pPr>
        <w:pStyle w:val="ListBullet"/>
      </w:pPr>
      <w:r>
        <w:t>An organization map of roles, spans of control, and reporting lines as they stand today, including the functions that are duplicated across more than one unit.</w:t>
      </w:r>
    </w:p>
    <w:p>
      <w:pPr>
        <w:pStyle w:val="ListBullet"/>
      </w:pPr>
      <w:r>
        <w:t>An agreed set of design principles that any target model has to satisfy, so the eventual choice is measured against criteria your leadership set in advance.</w:t>
      </w:r>
    </w:p>
    <w:p>
      <w:pPr>
        <w:pStyle w:val="ListBullet"/>
      </w:pPr>
      <w:r>
        <w:t>Two costed target operating models, each measured against the same baseline, so the decision between them is a decision between numbers and not between preferences.</w:t>
      </w:r>
    </w:p>
    <w:p>
      <w:r>
        <w:t>One finding deserves to be stated plainly. The duplication in the back-office functions is larger than the figure your team carried into this work, and it is the single largest source of the savings that both target models show. Brenda Rodriguez has documented how that number was built, line by line, and it does not soften under examination. It is the reason the consolidated model separates from the alternative on the numbers.</w:t>
      </w:r>
    </w:p>
    <w:p>
      <w:pPr>
        <w:pStyle w:val="Heading2"/>
      </w:pPr>
      <w:r>
        <w:t>The second half</w:t>
      </w:r>
    </w:p>
    <w:p>
      <w:r>
        <w:t>The remainder of the engagement turns the chosen model into a plan the organization can actually run. Assuming the direction is confirmed, the work ahead is:</w:t>
      </w:r>
    </w:p>
    <w:p>
      <w:pPr>
        <w:pStyle w:val="ListBullet"/>
      </w:pPr>
      <w:r>
        <w:t>Detailed design of the target organization: the specific roles, spans, and reporting lines, drawn at a level a manager could staff from.</w:t>
      </w:r>
    </w:p>
    <w:p>
      <w:pPr>
        <w:pStyle w:val="ListBullet"/>
      </w:pPr>
      <w:r>
        <w:t>A transition plan that sequences the moves so the business keeps operating while it changes, with the dependencies between moves made explicit rather than left to be discovered.</w:t>
      </w:r>
    </w:p>
    <w:p>
      <w:pPr>
        <w:pStyle w:val="ListBullet"/>
      </w:pPr>
      <w:r>
        <w:t>A quantified benefit case phased over the first two years, with the assumption behind each figure written down and open to challenge.</w:t>
      </w:r>
    </w:p>
    <w:p>
      <w:pPr>
        <w:pStyle w:val="ListBullet"/>
      </w:pPr>
      <w:r>
        <w:t>A short set of decisions for your leadership team, each paired with the information needed to make it.</w:t>
      </w:r>
    </w:p>
    <w:p>
      <w:pPr>
        <w:pStyle w:val="Heading2"/>
      </w:pPr>
      <w:r>
        <w:t>Budget</w:t>
      </w:r>
    </w:p>
    <w:p>
      <w:r>
        <w:t>The engagement is tracking within its planned budget and hours. The analysis phase came in on effort, and nothing in the plan for the second half requires more than was scoped. If the detailed design surfaces a question that genuinely falls outside the original scope, I will bring it to you before any work is done against it, not after, so that the budget holds no surprises at the end.</w:t>
      </w:r>
    </w:p>
    <w:p>
      <w:pPr>
        <w:pStyle w:val="Heading2"/>
      </w:pPr>
      <w:r>
        <w:t>Risks worth watching</w:t>
      </w:r>
    </w:p>
    <w:p>
      <w:r>
        <w:t>Three risks bear watching. None of them is fatal if it is managed early, and each is named here so that it can be.</w:t>
      </w:r>
    </w:p>
    <w:p>
      <w:pPr>
        <w:pStyle w:val="ListBullet"/>
      </w:pPr>
      <w:r>
        <w:t>Data completeness in the two smaller units, where the records are thinner than in the core business. We have flagged the gaps; closing them needs a few hours from your controllers, not a new data collection.</w:t>
      </w:r>
    </w:p>
    <w:p>
      <w:pPr>
        <w:pStyle w:val="ListBullet"/>
      </w:pPr>
      <w:r>
        <w:t>Organizational readiness. The consolidated model asks two managers to give up scope. That conversation belongs to your leadership; we can prepare it and support it, but we cannot hold it for you.</w:t>
      </w:r>
    </w:p>
    <w:p>
      <w:pPr>
        <w:pStyle w:val="ListBullet"/>
      </w:pPr>
      <w:r>
        <w:t>Decision latency. The transition plan has a critical path, and every week the model selection waits is a week the plan slips behind it. This is the risk most within your own control.</w:t>
      </w:r>
    </w:p>
    <w:p>
      <w:pPr>
        <w:pStyle w:val="Heading2"/>
      </w:pPr>
      <w:r>
        <w:t>The decision I need now</w:t>
      </w:r>
    </w:p>
    <w:p>
      <w:r>
        <w:t>The decision I need from you at this checkpoint is narrow. Confirm the consolidated model as the target, or tell me which of the two you want carried forward, so that the second half opens on detailed design and not on a re-argument of the choice. Give me that at our next review and the plan will be in front of your leadership team on schedule. Questions on any part of this report can come to me directly, or to Brenda Rodriguez on the analysis behind it.</w:t>
      </w:r>
    </w:p>
    <w:p/>
    <w:p>
      <w:r>
        <w:t>_____________________________</w:t>
      </w:r>
    </w:p>
    <w:p>
      <w:r>
        <w:rPr>
          <w:b/>
        </w:rPr>
        <w:t>Jason Torres</w:t>
      </w:r>
    </w:p>
    <w:p>
      <w:r>
        <w:t>Principal</w:t>
      </w:r>
    </w:p>
    <w:p>
      <w:r>
        <w:t>Date: September 8, 2008</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Operating Model Redesign for Hughes Group</dc:title>
  <dc:subject/>
  <dc:creator>Jason Torres</dc:creator>
  <cp:keywords/>
  <dc:description>generated by python-docx</dc:description>
  <cp:lastModifiedBy>Jason Torres</cp:lastModifiedBy>
  <cp:revision>1</cp:revision>
  <dcterms:created xsi:type="dcterms:W3CDTF">2008-09-08T09:00:00Z</dcterms:created>
  <dcterms:modified xsi:type="dcterms:W3CDTF">2008-09-08T09:00:00Z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