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Effectiveness: Status at the Midpoint</w:t>
      </w:r>
    </w:p>
    <w:p>
      <w:r>
        <w:t>Prepared for the leadership of Hughes Group by Nicole Griffin, on behalf of the engagement team.</w:t>
      </w:r>
    </w:p>
    <w:p>
      <w:pPr>
        <w:pStyle w:val="Heading2"/>
      </w:pPr>
      <w:r>
        <w:t>Where We Stand</w:t>
      </w:r>
    </w:p>
    <w:p>
      <w:r>
        <w:t>The engagement is at its midpoint and on plan. The performance baseline is firm, the coverage and pipeline analysis is well advanced, and the field interviews are roughly two-thirds complete. Nothing we have found so far changes the shape of the assignment, though several findings are still provisional and will settle as the last interviews and the remaining client data come in. There is no final recommendation yet, and none should be read into this report. What follows is the state of the work, described plainly.</w:t>
      </w:r>
    </w:p>
    <w:p>
      <w:pPr>
        <w:pStyle w:val="Heading2"/>
      </w:pPr>
      <w:r>
        <w:t>The Picture So Far</w:t>
      </w:r>
    </w:p>
    <w:p>
      <w:r>
        <w:t>Three things stand out at the halfway mark, each a working observation and not a settled finding. First, the selling effort is not aimed where the revenue and the open opportunity sit; the coverage model was never cut to the opportunity, and that gap looks to be the single largest source of the revenue the company is leaving unearned. The productivity of the field also varies more widely than your own reporting shows, because the reporting blends the field and the inside team into one number, and the two sell to different customers in different ways. Second, deals stall most in the move from qualified to proposal, and the process asks for steps at that stage that the field is not consistently taking; a share of the pipeline simply ages out there without being lost or won. Third, the discounting behind booked revenue is heavier than the list terms suggest, which points at the incentive plan and not only at the process. The managers and the field also account for the stall differently, one calling it price and the other calling it lead quality, and that difference is part of what the interviews are meant to resolve. We are testing all of this against the sessions still to come, and we will not present any of it as a recommendation until the evidence is in and reconciled.</w:t>
      </w:r>
    </w:p>
    <w:p>
      <w:pPr>
        <w:pStyle w:val="Heading2"/>
      </w:pPr>
      <w:r>
        <w:t>Completed This Period</w:t>
      </w:r>
    </w:p>
    <w:p>
      <w:pPr>
        <w:pStyle w:val="ListBullet"/>
      </w:pPr>
      <w:r>
        <w:t>Performance baseline built by Matthew Parrish from the last several years of bookings, pipeline, and win-loss records, with productivity, win rate by stage, and realized discounting visible at the level the analysis needs, and every figure carrying its source.</w:t>
      </w:r>
    </w:p>
    <w:p>
      <w:pPr>
        <w:pStyle w:val="ListBullet"/>
      </w:pPr>
      <w:r>
        <w:t>Coverage and opportunity map assembled and compared, with the accounts and segments cut by size and by growth, showing where the selling effort goes against where the revenue and the open opportunity actually are.</w:t>
      </w:r>
    </w:p>
    <w:p>
      <w:pPr>
        <w:pStyle w:val="ListBullet"/>
      </w:pPr>
      <w:r>
        <w:t>Pipeline analysis advanced to the point of naming the stage where deals stall and measuring what falls out at each step, with the reasons now being tested in the field.</w:t>
      </w:r>
    </w:p>
    <w:p>
      <w:pPr>
        <w:pStyle w:val="ListBullet"/>
      </w:pPr>
      <w:r>
        <w:t>Field interviews with the sales managers complete and consistent with the coverage read; the representative interviews are about two-thirds done.</w:t>
      </w:r>
    </w:p>
    <w:p>
      <w:pPr>
        <w:pStyle w:val="ListBullet"/>
      </w:pPr>
      <w:r>
        <w:t>Information-request log kept current, with the two remaining open items identified, owned on your side, and being chased.</w:t>
      </w:r>
    </w:p>
    <w:p>
      <w:pPr>
        <w:pStyle w:val="Heading2"/>
      </w:pPr>
      <w:r>
        <w:t>The Weeks Ahead</w:t>
      </w:r>
    </w:p>
    <w:p>
      <w:pPr>
        <w:pStyle w:val="ListBullet"/>
      </w:pPr>
      <w:r>
        <w:t>Complete the remaining representative interviews, which carry the read on why deals stall and are the last major piece of primary evidence.</w:t>
      </w:r>
    </w:p>
    <w:p>
      <w:pPr>
        <w:pStyle w:val="ListBullet"/>
      </w:pPr>
      <w:r>
        <w:t>Cut the coverage model against the opportunity, so the recommendation on where to aim the sales effort rests on the map and not on impression.</w:t>
      </w:r>
    </w:p>
    <w:p>
      <w:pPr>
        <w:pStyle w:val="ListBullet"/>
      </w:pPr>
      <w:r>
        <w:t>Fold the outstanding win-loss detail and territory assignments into the baseline once they arrive, and lift the provisional mark from the stage win rates.</w:t>
      </w:r>
    </w:p>
    <w:p>
      <w:pPr>
        <w:pStyle w:val="ListBullet"/>
      </w:pPr>
      <w:r>
        <w:t>Draft the recommendations for internal review, where Jason Torres checks them against the evidence before any part of them reaches you.</w:t>
      </w:r>
    </w:p>
    <w:p>
      <w:pPr>
        <w:pStyle w:val="Heading2"/>
      </w:pPr>
      <w:r>
        <w:t>Risks and Watch Items</w:t>
      </w:r>
    </w:p>
    <w:p>
      <w:pPr>
        <w:pStyle w:val="ListBullet"/>
      </w:pPr>
      <w:r>
        <w:t>The deal-level win-loss detail for the earlier year is not yet in, and the stage win rates stay provisional until it is. This is the single item most likely to move a figure in the final analysis, which is why we have not put a number on the stall rate in this report.</w:t>
      </w:r>
    </w:p>
    <w:p>
      <w:pPr>
        <w:pStyle w:val="ListBullet"/>
      </w:pPr>
      <w:r>
        <w:t>The remaining representative interviews are booked but not complete; a slip there would push the recommendations later without changing them, though it would compress the time we have to draft.</w:t>
      </w:r>
    </w:p>
    <w:p>
      <w:pPr>
        <w:pStyle w:val="ListBullet"/>
      </w:pPr>
      <w:r>
        <w:t>The discounting we are seeing touches the incentive plan, which sits outside the scope of this engagement. We will show what the incentives are producing and recommend a direction, and the plan redesign itself can be scoped separately if you want it.</w:t>
      </w:r>
    </w:p>
    <w:p>
      <w:pPr>
        <w:pStyle w:val="Heading2"/>
      </w:pPr>
      <w:r>
        <w:t>Budget</w:t>
      </w:r>
    </w:p>
    <w:p>
      <w:r>
        <w:t>Against the fixed fee of $30,000, effort is tracking to plan at the midpoint, with no change of scope to report and none anticipated. Should the remaining field work require materially more than planned, we will raise it with you before it affects the schedule or the fee, and not after. We remain glad to be doing this work for Hughes Group, and we will bring the first draft recommendations to the next working session.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Sales Effectiveness for Hughes Group</dc:title>
  <dc:subject/>
  <dc:creator>Nicole Griffin</dc:creator>
  <cp:keywords/>
  <dc:description>generated by python-docx</dc:description>
  <cp:lastModifiedBy>Nicole Griffin</cp:lastModifiedBy>
  <cp:revision>1</cp:revision>
  <dcterms:created xsi:type="dcterms:W3CDTF">2016-05-13T09:00:00Z</dcterms:created>
  <dcterms:modified xsi:type="dcterms:W3CDTF">2016-05-13T09:00:00Z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