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Cost Baseline and Current-State Findings</w:t>
      </w:r>
    </w:p>
    <w:p>
      <w:r>
        <w:t>Minutes recorded by Brenda Rodriguez. Subject: Hughes Group operating model redesign, working session with the client.</w:t>
      </w:r>
    </w:p>
    <w:p>
      <w:pPr>
        <w:pStyle w:val="Heading2"/>
      </w:pPr>
      <w:r>
        <w:t>Attendees</w:t>
      </w:r>
    </w:p>
    <w:p>
      <w:pPr>
        <w:pStyle w:val="ListBullet"/>
      </w:pPr>
      <w:r>
        <w:t>Jason Torres, Principal</w:t>
      </w:r>
    </w:p>
    <w:p>
      <w:pPr>
        <w:pStyle w:val="ListBullet"/>
      </w:pPr>
      <w:r>
        <w:t>Brenda Rodriguez, Senior Consultant</w:t>
      </w:r>
    </w:p>
    <w:p>
      <w:pPr>
        <w:pStyle w:val="ListBullet"/>
      </w:pPr>
      <w:r>
        <w:t>Linda Gallegos, Chief Financial Officer, Hughes Group</w:t>
      </w:r>
    </w:p>
    <w:p>
      <w:pPr>
        <w:pStyle w:val="Heading2"/>
      </w:pPr>
      <w:r>
        <w:t>Cost Baseline</w:t>
      </w:r>
    </w:p>
    <w:p>
      <w:r>
        <w:t>I walked the table through the cost baseline as it stands. The finding is that the current structure carries more layers than the headcount justifies: in two functions there are five reporting layers between the CFO's office and the front line where three would carry the same work. That is a measurement from the charts and the payroll file, and it holds. What it means for cost is a judgment I am not ready to put a number on, because about a fifth of the contractor spend is booked to cost centers that do not map cleanly to a box on the chart, and until that maps I would be guessing at the denominator. Jason Torres asked whether the unmapped spend changes the shape of the finding or only its size. On the evidence so far it changes the size, not the shape, but I logged that as an assumption to confirm, not a conclusion. The reconciliation against the management accounts ties at the function level; it is the allocation within two functions that is still soft, and I will hold that number back a week. Publishing an allocation I already expect to change would only put a wrong figure into circulation.</w:t>
      </w:r>
    </w:p>
    <w:p>
      <w:pPr>
        <w:pStyle w:val="Heading2"/>
      </w:pPr>
      <w:r>
        <w:t>Where Decisions Sit</w:t>
      </w:r>
    </w:p>
    <w:p>
      <w:r>
        <w:t>We reviewed the decision-rights map against the reporting structure. The pattern is consistent with the cost finding: several decisions the chart places at the business-unit head are in practice made two layers up, and a smaller number that should sit centrally are made in the units without a common rule. Linda Gallegos confirmed the second point from her own experience with the capital approvals, where two units apply different thresholds for the same kind of spend, and added two examples we had not captured. I noted both for the map. Jason Torres asked whether the drift is deliberate or accidental; the honest answer is that we do not know yet, and the interviews are where that gets settled. None of this is a recommendation; it is the current state, described, and it needs the remaining interviews before we test any change against it.</w:t>
      </w:r>
    </w:p>
    <w:p>
      <w:pPr>
        <w:pStyle w:val="Heading2"/>
      </w:pPr>
      <w:r>
        <w:t>Open Questions</w:t>
      </w:r>
    </w:p>
    <w:p>
      <w:r>
        <w:t>Two questions are open and both bear on the schedule. The first is the unmapped contractor spend, which finance is tracing. The second is whether the two functions with the extra layers are the exception or the rule across the company; the interviews still outstanding are the ones that will settle it. Linda Gallegos asked that we not characterize the structure to the business-unit heads before those interviews, so the sessions stay diagnostic and do not turn into negotiations. We agreed.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Trace the unmapped contractor spend to cost centers and remap it to the chart</w:t>
            </w:r>
          </w:p>
        </w:tc>
        <w:tc>
          <w:tcPr>
            <w:tcW w:type="dxa" w:w="2880"/>
          </w:tcPr>
          <w:p>
            <w:r>
              <w:t>Linda Gallegos</w:t>
            </w:r>
          </w:p>
        </w:tc>
        <w:tc>
          <w:tcPr>
            <w:tcW w:type="dxa" w:w="2880"/>
          </w:tcPr>
          <w:p>
            <w:r>
              <w:t>Before the next working session</w:t>
            </w:r>
          </w:p>
        </w:tc>
      </w:tr>
      <w:tr>
        <w:tc>
          <w:tcPr>
            <w:tcW w:type="dxa" w:w="2880"/>
          </w:tcPr>
          <w:p>
            <w:r>
              <w:t>Extend the layer analysis to the remaining functions once the mapping is clean</w:t>
            </w:r>
          </w:p>
        </w:tc>
        <w:tc>
          <w:tcPr>
            <w:tcW w:type="dxa" w:w="2880"/>
          </w:tcPr>
          <w:p>
            <w:r>
              <w:t>Brenda Rodriguez</w:t>
            </w:r>
          </w:p>
        </w:tc>
        <w:tc>
          <w:tcPr>
            <w:tcW w:type="dxa" w:w="2880"/>
          </w:tcPr>
          <w:p>
            <w:r>
              <w:t>With the draft baseline</w:t>
            </w:r>
          </w:p>
        </w:tc>
      </w:tr>
      <w:tr>
        <w:tc>
          <w:tcPr>
            <w:tcW w:type="dxa" w:w="2880"/>
          </w:tcPr>
          <w:p>
            <w:r>
              <w:t>Complete the outstanding leadership interviews and log the decision-rights gaps</w:t>
            </w:r>
          </w:p>
        </w:tc>
        <w:tc>
          <w:tcPr>
            <w:tcW w:type="dxa" w:w="2880"/>
          </w:tcPr>
          <w:p>
            <w:r>
              <w:t>Jason Torres</w:t>
            </w:r>
          </w:p>
        </w:tc>
        <w:tc>
          <w:tcPr>
            <w:tcW w:type="dxa" w:w="2880"/>
          </w:tcPr>
          <w:p>
            <w:r>
              <w:t>Before the diagnostic is drafted</w:t>
            </w:r>
          </w:p>
        </w:tc>
      </w:tr>
      <w:tr>
        <w:tc>
          <w:tcPr>
            <w:tcW w:type="dxa" w:w="2880"/>
          </w:tcPr>
          <w:p>
            <w:r>
              <w:t>Hold the current-state findings inside the team until the interviews are complete</w:t>
            </w:r>
          </w:p>
        </w:tc>
        <w:tc>
          <w:tcPr>
            <w:tcW w:type="dxa" w:w="2880"/>
          </w:tcPr>
          <w:p>
            <w:r>
              <w:t>Jason Torres</w:t>
            </w:r>
          </w:p>
        </w:tc>
        <w:tc>
          <w:tcPr>
            <w:tcW w:type="dxa" w:w="2880"/>
          </w:tcPr>
          <w:p>
            <w:r>
              <w:t>Ongoing</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Operating Model Redesign for Hughes Group</dc:title>
  <dc:subject/>
  <dc:creator>Brenda Rodriguez</dc:creator>
  <cp:keywords/>
  <dc:description>generated by python-docx</dc:description>
  <cp:lastModifiedBy>Brenda Rodriguez</cp:lastModifiedBy>
  <cp:revision>1</cp:revision>
  <dcterms:created xsi:type="dcterms:W3CDTF">2008-08-15T09:00:00Z</dcterms:created>
  <dcterms:modified xsi:type="dcterms:W3CDTF">2008-08-15T09:00:00Z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