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Operating Model Redesign for Hughes Group</w:t>
      </w:r>
    </w:p>
    <w:p>
      <w:r>
        <w:t>Prepared by Brenda Rodriguez, Senior Consultant, Calderwood Partners. Working session held at the offices of Hughes Group. Corrections should reach this office within five business days; absent corrections, these minutes stand as the record of the session.</w:t>
      </w:r>
    </w:p>
    <w:p>
      <w:pPr>
        <w:pStyle w:val="Heading2"/>
      </w:pPr>
      <w:r>
        <w:t>Attendees</w:t>
      </w:r>
    </w:p>
    <w:p>
      <w:pPr>
        <w:pStyle w:val="ListBullet"/>
      </w:pPr>
      <w:r>
        <w:t>Brenda Rodriguez, Senior Consultant, Calderwood Partners</w:t>
      </w:r>
    </w:p>
    <w:p>
      <w:pPr>
        <w:pStyle w:val="ListBullet"/>
      </w:pPr>
      <w:r>
        <w:t>Jason Torres, Principal, Calderwood Partners</w:t>
      </w:r>
    </w:p>
    <w:p>
      <w:pPr>
        <w:pStyle w:val="ListBullet"/>
      </w:pPr>
      <w:r>
        <w:t>Linda Gallegos, Chief Financial Officer, Hughes Group</w:t>
      </w:r>
    </w:p>
    <w:p>
      <w:pPr>
        <w:pStyle w:val="Heading2"/>
      </w:pPr>
      <w:r>
        <w:t>Purpose</w:t>
      </w:r>
    </w:p>
    <w:p>
      <w:r>
        <w:t>The session reviewed the near-final target operating model and transition plan for Hughes Group and worked through the items still open before the final readout. The design is fixed in its essentials. What was under discussion was the evidence behind the benefit case and the sequencing of the first moves, not the shape of the model itself.</w:t>
      </w:r>
    </w:p>
    <w:p>
      <w:pPr>
        <w:pStyle w:val="Heading2"/>
      </w:pPr>
      <w:r>
        <w:t>Benefit case</w:t>
      </w:r>
    </w:p>
    <w:p>
      <w:r>
        <w:t>The benefit figures were walked through line by line. The back-office consolidation accounts for the majority of the projected savings, and that figure has been reconciled to Hughes Group's own payroll and vendor records rather than to an outside benchmark. Linda Gallegos asked whether the estimate assumed attrition or active reduction. It assumes a stated mix of the two, and that assumption is now written into the model so that it is visible rather than buried inside a total. One qualifier stands: the savings in the smaller of the two units rest on a headcount record that is three months old, and that figure should be treated as provisional until the current record is supplied.</w:t>
      </w:r>
    </w:p>
    <w:p>
      <w:pPr>
        <w:pStyle w:val="Heading2"/>
      </w:pPr>
      <w:r>
        <w:t>Transition sequence</w:t>
      </w:r>
    </w:p>
    <w:p>
      <w:r>
        <w:t>Jason Torres presented the transition sequence. The first moves are deliberately the ones with no dependencies and the least disruption, so that the organization sees the change working before the harder consolidations begin. Linda Gallegos raised the timing of the two manager role changes against the close of the fiscal year. It was agreed that those moves would be scheduled after the close, and that the plan would show them that way, to avoid loading a reorganization onto the finance team during its busiest weeks.</w:t>
      </w:r>
    </w:p>
    <w:p>
      <w:pPr>
        <w:pStyle w:val="Heading2"/>
      </w:pPr>
      <w:r>
        <w:t>Ownership after handoff</w:t>
      </w:r>
    </w:p>
    <w:p>
      <w:r>
        <w:t>Linda Gallegos asked who inside Hughes Group would own the transition once the engagement ends. Jason Torres proposed that each of the early moves name a single accountable manager in the plan, so that ownership is written down rather than assumed, and that a short weekly check on the critical path sit with the finance function through the early moves. Brenda Rodriguez added one caution: the plan should not assign a move to a manager whose own scope that same move removes, and the two role changes were reviewed against that rule. No conflict was found in this pass, but the check will be repeated when the plan is finalized.</w:t>
      </w:r>
    </w:p>
    <w:p>
      <w:pPr>
        <w:pStyle w:val="Heading2"/>
      </w:pPr>
      <w:r>
        <w:t>Final readout</w:t>
      </w:r>
    </w:p>
    <w:p>
      <w:r>
        <w:t>Brenda Rodriguez noted that the readout to the leadership team should present the benefit case with its assumptions attached, not as a single number, so that the leadership decision is made on the same basis the analysis was built on. Linda Gallegos agreed and asked that the provisional figure noted above be resolved before the readout rather than carried into it with a caveat. The agreed action items follow.</w:t>
      </w:r>
    </w:p>
    <w:p>
      <w:pPr>
        <w:pStyle w:val="Heading2"/>
      </w:pPr>
      <w:r>
        <w:t>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Item</w:t>
            </w:r>
          </w:p>
        </w:tc>
        <w:tc>
          <w:tcPr>
            <w:tcW w:type="dxa" w:w="2160"/>
          </w:tcPr>
          <w:p>
            <w:r>
              <w:rPr>
                <w:b/>
              </w:rPr>
              <w:t>Owner</w:t>
            </w:r>
          </w:p>
        </w:tc>
        <w:tc>
          <w:tcPr>
            <w:tcW w:type="dxa" w:w="2160"/>
          </w:tcPr>
          <w:p>
            <w:r>
              <w:rPr>
                <w:b/>
              </w:rPr>
              <w:t>Target</w:t>
            </w:r>
          </w:p>
        </w:tc>
      </w:tr>
      <w:tr>
        <w:tc>
          <w:tcPr>
            <w:tcW w:type="dxa" w:w="2160"/>
          </w:tcPr>
          <w:p>
            <w:r>
              <w:t>1</w:t>
            </w:r>
          </w:p>
        </w:tc>
        <w:tc>
          <w:tcPr>
            <w:tcW w:type="dxa" w:w="2160"/>
          </w:tcPr>
          <w:p>
            <w:r>
              <w:t>Supply the current headcount record for the smaller operating unit</w:t>
            </w:r>
          </w:p>
        </w:tc>
        <w:tc>
          <w:tcPr>
            <w:tcW w:type="dxa" w:w="2160"/>
          </w:tcPr>
          <w:p>
            <w:r>
              <w:t>Linda Gallegos</w:t>
            </w:r>
          </w:p>
        </w:tc>
        <w:tc>
          <w:tcPr>
            <w:tcW w:type="dxa" w:w="2160"/>
          </w:tcPr>
          <w:p>
            <w:r>
              <w:t>Within one week</w:t>
            </w:r>
          </w:p>
        </w:tc>
      </w:tr>
      <w:tr>
        <w:tc>
          <w:tcPr>
            <w:tcW w:type="dxa" w:w="2160"/>
          </w:tcPr>
          <w:p>
            <w:r>
              <w:t>2</w:t>
            </w:r>
          </w:p>
        </w:tc>
        <w:tc>
          <w:tcPr>
            <w:tcW w:type="dxa" w:w="2160"/>
          </w:tcPr>
          <w:p>
            <w:r>
              <w:t>Update the benefit model on receipt of the current record and mark the figure final</w:t>
            </w:r>
          </w:p>
        </w:tc>
        <w:tc>
          <w:tcPr>
            <w:tcW w:type="dxa" w:w="2160"/>
          </w:tcPr>
          <w:p>
            <w:r>
              <w:t>Brenda Rodriguez</w:t>
            </w:r>
          </w:p>
        </w:tc>
        <w:tc>
          <w:tcPr>
            <w:tcW w:type="dxa" w:w="2160"/>
          </w:tcPr>
          <w:p>
            <w:r>
              <w:t>Two days after receipt</w:t>
            </w:r>
          </w:p>
        </w:tc>
      </w:tr>
      <w:tr>
        <w:tc>
          <w:tcPr>
            <w:tcW w:type="dxa" w:w="2160"/>
          </w:tcPr>
          <w:p>
            <w:r>
              <w:t>3</w:t>
            </w:r>
          </w:p>
        </w:tc>
        <w:tc>
          <w:tcPr>
            <w:tcW w:type="dxa" w:w="2160"/>
          </w:tcPr>
          <w:p>
            <w:r>
              <w:t>Revise the transition plan to schedule the two manager role changes after the fiscal close</w:t>
            </w:r>
          </w:p>
        </w:tc>
        <w:tc>
          <w:tcPr>
            <w:tcW w:type="dxa" w:w="2160"/>
          </w:tcPr>
          <w:p>
            <w:r>
              <w:t>Jason Torres</w:t>
            </w:r>
          </w:p>
        </w:tc>
        <w:tc>
          <w:tcPr>
            <w:tcW w:type="dxa" w:w="2160"/>
          </w:tcPr>
          <w:p>
            <w:r>
              <w:t>Before the final readout</w:t>
            </w:r>
          </w:p>
        </w:tc>
      </w:tr>
      <w:tr>
        <w:tc>
          <w:tcPr>
            <w:tcW w:type="dxa" w:w="2160"/>
          </w:tcPr>
          <w:p>
            <w:r>
              <w:t>4</w:t>
            </w:r>
          </w:p>
        </w:tc>
        <w:tc>
          <w:tcPr>
            <w:tcW w:type="dxa" w:w="2160"/>
          </w:tcPr>
          <w:p>
            <w:r>
              <w:t>Confirm the leadership team attendance and the readout format</w:t>
            </w:r>
          </w:p>
        </w:tc>
        <w:tc>
          <w:tcPr>
            <w:tcW w:type="dxa" w:w="2160"/>
          </w:tcPr>
          <w:p>
            <w:r>
              <w:t>Linda Gallegos</w:t>
            </w:r>
          </w:p>
        </w:tc>
        <w:tc>
          <w:tcPr>
            <w:tcW w:type="dxa" w:w="2160"/>
          </w:tcPr>
          <w:p>
            <w:r>
              <w:t>Before the next session</w:t>
            </w:r>
          </w:p>
        </w:tc>
      </w:tr>
      <w:tr>
        <w:tc>
          <w:tcPr>
            <w:tcW w:type="dxa" w:w="2160"/>
          </w:tcPr>
          <w:p>
            <w:r>
              <w:t>5</w:t>
            </w:r>
          </w:p>
        </w:tc>
        <w:tc>
          <w:tcPr>
            <w:tcW w:type="dxa" w:w="2160"/>
          </w:tcPr>
          <w:p>
            <w:r>
              <w:t>Circulate the near-final model and plan to attendees ahead of the readout</w:t>
            </w:r>
          </w:p>
        </w:tc>
        <w:tc>
          <w:tcPr>
            <w:tcW w:type="dxa" w:w="2160"/>
          </w:tcPr>
          <w:p>
            <w:r>
              <w:t>Brenda Rodriguez</w:t>
            </w:r>
          </w:p>
        </w:tc>
        <w:tc>
          <w:tcPr>
            <w:tcW w:type="dxa" w:w="2160"/>
          </w:tcPr>
          <w:p>
            <w:r>
              <w:t>This week</w:t>
            </w:r>
          </w:p>
        </w:tc>
      </w:tr>
    </w:tbl>
    <w:p>
      <w:r>
        <w:t>The next session will be the final readout to the leadership team. Brenda Rodriguez will circulate the revised materials once the outstanding headcount record has been received and the benefit case has been marked final.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Operating Model Redesign for Hughes Group</dc:title>
  <dc:subject/>
  <dc:creator>Brenda Rodriguez</dc:creator>
  <cp:keywords/>
  <dc:description>generated by python-docx</dc:description>
  <cp:lastModifiedBy>Brenda Rodriguez</cp:lastModifiedBy>
  <cp:revision>1</cp:revision>
  <dcterms:created xsi:type="dcterms:W3CDTF">2008-11-14T09:00:00Z</dcterms:created>
  <dcterms:modified xsi:type="dcterms:W3CDTF">2008-11-14T09:00:00Z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