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Final Recommendations and Handover</w:t>
      </w:r>
    </w:p>
    <w:p>
      <w:r>
        <w:t>Recorded by Matthew Parrish. Subject: sales effectiveness for Hughes Group, closing working session with the client.</w:t>
      </w:r>
    </w:p>
    <w:p>
      <w:pPr>
        <w:pStyle w:val="Heading2"/>
      </w:pPr>
      <w:r>
        <w:t>Present</w:t>
      </w:r>
    </w:p>
    <w:p>
      <w:pPr>
        <w:pStyle w:val="ListBullet"/>
      </w:pPr>
      <w:r>
        <w:t>Jason Torres, Principal</w:t>
      </w:r>
    </w:p>
    <w:p>
      <w:pPr>
        <w:pStyle w:val="ListBullet"/>
      </w:pPr>
      <w:r>
        <w:t>Nicole Griffin, Research Associate</w:t>
      </w:r>
    </w:p>
    <w:p>
      <w:pPr>
        <w:pStyle w:val="ListBullet"/>
      </w:pPr>
      <w:r>
        <w:t>Matthew Parrish, Research Associate</w:t>
      </w:r>
    </w:p>
    <w:p>
      <w:pPr>
        <w:pStyle w:val="ListBullet"/>
      </w:pPr>
      <w:r>
        <w:t>Linda Gallegos, Chief Financial Officer, Hughes Group</w:t>
      </w:r>
    </w:p>
    <w:p>
      <w:pPr>
        <w:pStyle w:val="Heading2"/>
      </w:pPr>
      <w:r>
        <w:t>The Recommendations as They Stand</w:t>
      </w:r>
    </w:p>
    <w:p>
      <w:r>
        <w:t>Jason Torres took the session through the final recommendations, which are firm on every point. The coverage model is recut to the opportunity, and the analysis behind the reallocation of the sales effort is complete and sourced; the accounts that were absorbing time out of proportion to their opportunity are named, and so are the segments the plan leaves uncovered. The pipeline recommendation names the qualified-to-proposal stage as the place to tighten the process, with the specific steps the field is skipping set out beside it and a tighter qualification test proposed ahead of that stage, since much of what stalls there was never well qualified to begin with. The discounting finding stands: realized discounts run heavier than the list terms and heavier than the deals required, and the recommendation points at the incentive plan as the cause, while noting that redesigning the plan sits outside this engagement. Linda Gallegos asked whether the coverage reallocation could be phased, so the field is not moved all at once. Jason Torres confirmed the implementation plan already stages it, the managers first and the territories after, with a check point between the two so a stage that is not landing can be corrected before the next one begins.</w:t>
      </w:r>
    </w:p>
    <w:p>
      <w:pPr>
        <w:pStyle w:val="Heading2"/>
      </w:pPr>
      <w:r>
        <w:t>Client Comments</w:t>
      </w:r>
    </w:p>
    <w:p>
      <w:r>
        <w:t>Linda Gallegos raised two points for the record. She asked that the discounting finding be stated plainly, since the company's leadership will act on it directly, and Matthew Parrish confirmed the report puts it in those terms. She also asked whether the coverage recommendation would hold if the regional managers pushed back on it; the opportunity map and the interviews behind it are complete, and it will carry that weight. No change to the recommendations came out of the discussion; what remains is production and handover.</w:t>
      </w:r>
    </w:p>
    <w:p>
      <w:pPr>
        <w:pStyle w:val="Heading2"/>
      </w:pPr>
      <w:r>
        <w:t>Data and Analysis Closed</w:t>
      </w:r>
    </w:p>
    <w:p>
      <w:r>
        <w:t>The two items open at the last session, the deal-level win-loss detail and the territory assignments, are both in, and Matthew Parrish has folded them into the baseline; the stage win rates are final and no longer marked provisional, and the earlier records that were missing their discount field have been filled, so the realized-discount read now covers the full period. Nicole Griffin confirmed that the information-request log carries no open items on the client's side, and that every figure in the analysis now traces to a source in the file. The field interviews are complete, the managers and the representatives both, and their accounts are reconciled against the numbers. Nothing analytical is left open.</w:t>
      </w:r>
    </w:p>
    <w:p>
      <w:pPr>
        <w:pStyle w:val="Heading2"/>
      </w:pPr>
      <w:r>
        <w:t>Steps to Close</w:t>
      </w:r>
    </w:p>
    <w:p>
      <w:pPr>
        <w:pStyle w:val="ListBullet"/>
      </w:pPr>
      <w:r>
        <w:t>Jason Torres finalizes the recommendation narrative and the implementation plan against the reviewed draft, carrying the phasing Linda Gallegos asked for.</w:t>
      </w:r>
    </w:p>
    <w:p>
      <w:pPr>
        <w:pStyle w:val="ListBullet"/>
      </w:pPr>
      <w:r>
        <w:t>Matthew Parrish locks the exhibits and checks every figure back to its source before the report is issued, since a number that does not tie undermines the recommendation it supports.</w:t>
      </w:r>
    </w:p>
    <w:p>
      <w:pPr>
        <w:pStyle w:val="ListBullet"/>
      </w:pPr>
      <w:r>
        <w:t>Nicole Griffin assembles the source appendix so that every recommendation traces to the analysis or the interview behind it, and confirms nothing cited is left unsupported.</w:t>
      </w:r>
    </w:p>
    <w:p>
      <w:pPr>
        <w:pStyle w:val="ListBullet"/>
      </w:pPr>
      <w:r>
        <w:t>Linda Gallegos to confirm, on the client's side, who receives the final report and the implementation plan, and in what form, so distribution is settled before the report is ready to send.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Sales Effectiveness for Hughes Group</dc:title>
  <dc:subject/>
  <dc:creator>Matthew Parrish</dc:creator>
  <cp:keywords/>
  <dc:description>generated by python-docx</dc:description>
  <cp:lastModifiedBy>Matthew Parrish</cp:lastModifiedBy>
  <cp:revision>1</cp:revision>
  <dcterms:created xsi:type="dcterms:W3CDTF">2016-07-27T09:00:00Z</dcterms:created>
  <dcterms:modified xsi:type="dcterms:W3CDTF">2016-07-27T09:00:00Z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