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Cynthia Hart, Nicole Griffin</w:t>
        <w:br/>
        <w:t>From: Melissa Casey</w:t>
        <w:br/>
        <w:t>Re: Johnson, Lopez and Brooks commercial due diligence, kickoff and assignments</w:t>
      </w:r>
    </w:p>
    <w:p>
      <w:r>
        <w:t>The letter is signed and we start on June 16, 2015. The job is a commercial due diligence for Johnson, Lopez and Brooks: test the commercial case for the acquisition they are weighing, and hand them a report that says how large the target's market is, where the target sits within it, how durable its revenue is, and which of its plan assumptions will hold. It runs about seven months and ends in a written report with the exhibits behind every finding. Our client contact is Barbara Banks, the Chief Operating Officer at Johnson, Lopez and Brooks; everything that goes to the client goes through her, and none of us reaches a reference the client has arranged without her office knowing first.</w:t>
      </w:r>
    </w:p>
    <w:p>
      <w:pPr>
        <w:pStyle w:val="Heading2"/>
      </w:pPr>
      <w:r>
        <w:t>How the Work Divides</w:t>
      </w:r>
    </w:p>
    <w:p>
      <w:pPr>
        <w:pStyle w:val="ListBullet"/>
      </w:pPr>
      <w:r>
        <w:t>Market and demand. I size the market the target serves and the direction it is moving, from published sources first and our own reference base second. The number has to survive a skeptical reader, so every figure carries its source.</w:t>
      </w:r>
    </w:p>
    <w:p>
      <w:pPr>
        <w:pStyle w:val="ListBullet"/>
      </w:pPr>
      <w:r>
        <w:t>Competitive position. I map where the target stands against the companies it competes with, on the dimensions that actually move a buyer: price, service, switching cost, and reach.</w:t>
      </w:r>
    </w:p>
    <w:p>
      <w:pPr>
        <w:pStyle w:val="ListBullet"/>
      </w:pPr>
      <w:r>
        <w:t>Customer and revenue quality. We read the revenue through the customers behind it, concentration, contract length, and retention. This is where the reference calls matter most, and Nicole Griffin is setting them up.</w:t>
      </w:r>
    </w:p>
    <w:p>
      <w:pPr>
        <w:pStyle w:val="ListBullet"/>
      </w:pPr>
      <w:r>
        <w:t>Data and exhibits. Cynthia Hart builds the data set and the exhibits, labeled so they drop straight into the report without rework. If a figure cannot be sourced, it does not go into an exhibit.</w:t>
      </w:r>
    </w:p>
    <w:p>
      <w:pPr>
        <w:pStyle w:val="ListBullet"/>
      </w:pPr>
      <w:r>
        <w:t>Requests and tracking. Nicole Griffin owns the information-request list and the log of what is outstanding on the client's side, so nothing we need sits waiting without one of us knowing it is late.</w:t>
      </w:r>
    </w:p>
    <w:p>
      <w:pPr>
        <w:pStyle w:val="Heading2"/>
      </w:pPr>
      <w:r>
        <w:t>How We Handle the Client</w:t>
      </w:r>
    </w:p>
    <w:p>
      <w:r>
        <w:t>A few ground rules while we set up. The target's data stays inside the team and off any drive the wider office can see; the engagement and its subject are confidential, and that holds in the corridor as much as on paper. A figure that is not yet sourced stays out of anything that leaves the room, exhibit or sentence. When someone on the client side asks one of us for something in passing, the answer is that we will log it and come back, not that we have started it. Barbara Banks is the single door to Johnson, Lopez and Brooks, and requests to their people go through her office, so we are not making the same ask twice through different channels.</w:t>
      </w:r>
    </w:p>
    <w:p>
      <w:pPr>
        <w:pStyle w:val="Heading2"/>
      </w:pPr>
      <w:r>
        <w:t>The First Two Weeks</w:t>
      </w:r>
    </w:p>
    <w:p>
      <w:pPr>
        <w:pStyle w:val="ListBullet"/>
      </w:pPr>
      <w:r>
        <w:t>I draft the information request, itemized, with definitions attached, and circulate it to the two of you for comment by Thursday before it goes to Barbara Banks.</w:t>
      </w:r>
    </w:p>
    <w:p>
      <w:pPr>
        <w:pStyle w:val="ListBullet"/>
      </w:pPr>
      <w:r>
        <w:t>We agree the reference list, name by name, before we ask the client to make a single introduction, so we are not renegotiating access once the calls have started.</w:t>
      </w:r>
    </w:p>
    <w:p>
      <w:pPr>
        <w:pStyle w:val="ListBullet"/>
      </w:pPr>
      <w:r>
        <w:t>Cynthia Hart sets up the source folder and the exhibit shells so we file as we go instead of scrambling to assemble the appendix at the end.</w:t>
      </w:r>
    </w:p>
    <w:p>
      <w:pPr>
        <w:pStyle w:val="ListBullet"/>
      </w:pPr>
      <w:r>
        <w:t>Nicole Griffin opens the outstanding-items log and we walk it together at the close of each week, marking what is late and who is chasing it.</w:t>
      </w:r>
    </w:p>
    <w:p>
      <w:r>
        <w:t>Send me anything on the request list before Thursday. Once it is agreed I will pass it to Barbara Banks, and we can start booking the first reference calls the week after. If any of the lines of work above looks mis-scoped to either of you, tell me this week, while re-cutting it is cheap and nothing downstream has been built on it yet.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Commercial Due Diligence for Johnson, Lopez and Brooks</dc:title>
  <dc:subject/>
  <dc:creator>Melissa Casey</dc:creator>
  <cp:keywords/>
  <dc:description>generated by python-docx</dc:description>
  <cp:lastModifiedBy>Melissa Casey</cp:lastModifiedBy>
  <cp:revision>1</cp:revision>
  <dcterms:created xsi:type="dcterms:W3CDTF">2015-06-19T09:00:00Z</dcterms:created>
  <dcterms:modified xsi:type="dcterms:W3CDTF">2015-06-19T09:00:00Z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