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Commercial Due Diligence: Status at the Midpoint</w:t>
      </w:r>
    </w:p>
    <w:p>
      <w:r>
        <w:t>Prepared for the leadership of Johnson, Lopez and Brooks by Melissa Casey, on behalf of the engagement team.</w:t>
      </w:r>
    </w:p>
    <w:p>
      <w:pPr>
        <w:pStyle w:val="Heading2"/>
      </w:pPr>
      <w:r>
        <w:t>Where We Stand</w:t>
      </w:r>
    </w:p>
    <w:p>
      <w:r>
        <w:t>The engagement is at its midpoint and on plan. The market sizing and the competitive assessment are substantially complete, the customer and revenue analysis is well advanced, and the reference program is roughly two-thirds done. Nothing we have found so far changes the overall shape of the commercial case, though several findings are still provisional and will firm up as the last reference calls and the remaining client data come in. We do not yet have a final view, and none should be inferred from this report; what follows is the state of the work, described.</w:t>
      </w:r>
    </w:p>
    <w:p>
      <w:pPr>
        <w:pStyle w:val="Heading2"/>
      </w:pPr>
      <w:r>
        <w:t>The Picture So Far</w:t>
      </w:r>
    </w:p>
    <w:p>
      <w:r>
        <w:t>Three things stand out at the halfway mark, each offered as a working observation rather than a settled finding. The target's core market is real and growing at a modest rate, and the target holds a genuine position within it; that part of the plan is supported by what we have seen. The growth the plan expects from the two adjacent segments is less well supported, and the evidence there is thinner than the plan's confidence would suggest. And the revenue, while healthy on the accounts we can see, is more concentrated in a handful of customers than the summary figures first implied, which raises the importance of the reference calls still to come. We are testing all three against the remaining evidence, and we will not present any of them as a conclusion until that evidence is in.</w:t>
      </w:r>
    </w:p>
    <w:p>
      <w:pPr>
        <w:pStyle w:val="Heading2"/>
      </w:pPr>
      <w:r>
        <w:t>Completed This Period</w:t>
      </w:r>
    </w:p>
    <w:p>
      <w:pPr>
        <w:pStyle w:val="ListBullet"/>
      </w:pPr>
      <w:r>
        <w:t>Market sizing closed at the segment level, with every figure carrying its source, so the number will survive a reader who wants to check it.</w:t>
      </w:r>
    </w:p>
    <w:p>
      <w:pPr>
        <w:pStyle w:val="ListBullet"/>
      </w:pPr>
      <w:r>
        <w:t>Competitive map built for the target's core segment, where the position holds; the two adjacent segments the plan relies on are still in progress.</w:t>
      </w:r>
    </w:p>
    <w:p>
      <w:pPr>
        <w:pStyle w:val="ListBullet"/>
      </w:pPr>
      <w:r>
        <w:t>Customer exhibits assembled by Cynthia Hart, with concentration and retention now visible at the account level for most of the base, and the gaps clearly marked where two large accounts are still missing.</w:t>
      </w:r>
    </w:p>
    <w:p>
      <w:pPr>
        <w:pStyle w:val="ListBullet"/>
      </w:pPr>
      <w:r>
        <w:t>Reference calls with the mid-sized customers completed and consistent with the retention picture, and the schedule for the largest accounts set.</w:t>
      </w:r>
    </w:p>
    <w:p>
      <w:pPr>
        <w:pStyle w:val="ListBullet"/>
      </w:pPr>
      <w:r>
        <w:t>Information-request log kept current by Nicole Griffin, with the two remaining open items identified, owned on your side, and being chased.</w:t>
      </w:r>
    </w:p>
    <w:p>
      <w:pPr>
        <w:pStyle w:val="Heading2"/>
      </w:pPr>
      <w:r>
        <w:t>The Weeks Ahead</w:t>
      </w:r>
    </w:p>
    <w:p>
      <w:pPr>
        <w:pStyle w:val="ListBullet"/>
      </w:pPr>
      <w:r>
        <w:t>Complete the reference calls with the largest accounts, which carry the most weight on revenue quality and are the last major piece of primary evidence.</w:t>
      </w:r>
    </w:p>
    <w:p>
      <w:pPr>
        <w:pStyle w:val="ListBullet"/>
      </w:pPr>
      <w:r>
        <w:t>Close the competitive read on the two adjacent segments the plan relies on for growth, and reconcile the two published sources that disagree on the size of the larger one.</w:t>
      </w:r>
    </w:p>
    <w:p>
      <w:pPr>
        <w:pStyle w:val="ListBullet"/>
      </w:pPr>
      <w:r>
        <w:t>Fold the outstanding account-level revenue history into the concentration and retention exhibits once it is provided, and lift the provisional marking from those figures.</w:t>
      </w:r>
    </w:p>
    <w:p>
      <w:pPr>
        <w:pStyle w:val="ListBullet"/>
      </w:pPr>
      <w:r>
        <w:t>Draft the findings for internal review, where they will be checked against the evidence before any part of them reaches you.</w:t>
      </w:r>
    </w:p>
    <w:p>
      <w:pPr>
        <w:pStyle w:val="Heading2"/>
      </w:pPr>
      <w:r>
        <w:t>Risks and Watch Items</w:t>
      </w:r>
    </w:p>
    <w:p>
      <w:pPr>
        <w:pStyle w:val="ListBullet"/>
      </w:pPr>
      <w:r>
        <w:t>Two of the largest customer accounts are not yet in the data, and the concentration read stays provisional until they are. This is the single item most likely to move the conclusion, and it is why we have not put a figure on concentration in this report.</w:t>
      </w:r>
    </w:p>
    <w:p>
      <w:pPr>
        <w:pStyle w:val="ListBullet"/>
      </w:pPr>
      <w:r>
        <w:t>Reference access to the largest accounts is arranged but not yet completed; a slip there would push the findings later, not change them, but it would compress the time available to draft.</w:t>
      </w:r>
    </w:p>
    <w:p>
      <w:pPr>
        <w:pStyle w:val="ListBullet"/>
      </w:pPr>
      <w:r>
        <w:t>The adjacent-segment growth the plan assumes is the weakest-supported part of the target's case, and it is where we are directing the remaining work, because it is the assumption most likely to change the answer if it does not hold.</w:t>
      </w:r>
    </w:p>
    <w:p>
      <w:pPr>
        <w:pStyle w:val="Heading2"/>
      </w:pPr>
      <w:r>
        <w:t>What We Need From You</w:t>
      </w:r>
    </w:p>
    <w:p>
      <w:r>
        <w:t>Two things keep the schedule intact, and neither is late. The first is the account-level revenue history for the two largest customers, which your finance team is preparing; it is the last input the concentration and retention read depends on. The second is that the introductions to those same large accounts stay firm, so the reference calls land within the next few weeks. We flag them here only because they are the two items on your side that the remaining work turns on, and knowing where they stand lets us hold the timeline without surprises at the end.</w:t>
      </w:r>
    </w:p>
    <w:p>
      <w:pPr>
        <w:pStyle w:val="Heading2"/>
      </w:pPr>
      <w:r>
        <w:t>Budget</w:t>
      </w:r>
    </w:p>
    <w:p>
      <w:r>
        <w:t>Against the fixed fee of $112,500, effort is tracking to plan at the midpoint, with no change of scope to report and none anticipated. Should the reference program require materially more work than planned, we will raise it with you before it affects the schedule or the fee, not after. We remain glad to be doing this work for Johnson, Lopez and Brooks, and we will bring the first draft findings to the next working session.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Commercial Due Diligence for Johnson, Lopez and Brooks</dc:title>
  <dc:subject/>
  <dc:creator>Melissa Casey</dc:creator>
  <cp:keywords/>
  <dc:description>generated by python-docx</dc:description>
  <cp:lastModifiedBy>Melissa Casey</cp:lastModifiedBy>
  <cp:revision>1</cp:revision>
  <dcterms:created xsi:type="dcterms:W3CDTF">2015-10-06T09:00:00Z</dcterms:created>
  <dcterms:modified xsi:type="dcterms:W3CDTF">2015-10-06T09:00:00Z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