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Market Read and Outstanding Data</w:t>
      </w:r>
    </w:p>
    <w:p>
      <w:r>
        <w:t>Recorded by Nicole Griffin. Subject: commercial due diligence for Johnson, Lopez and Brooks, mid-engagement working session with the client.</w:t>
      </w:r>
    </w:p>
    <w:p>
      <w:pPr>
        <w:pStyle w:val="Heading2"/>
      </w:pPr>
      <w:r>
        <w:t>Present</w:t>
      </w:r>
    </w:p>
    <w:p>
      <w:pPr>
        <w:pStyle w:val="ListBullet"/>
      </w:pPr>
      <w:r>
        <w:t>Melissa Casey, Research Associate</w:t>
      </w:r>
    </w:p>
    <w:p>
      <w:pPr>
        <w:pStyle w:val="ListBullet"/>
      </w:pPr>
      <w:r>
        <w:t>Cynthia Hart, Research Associate</w:t>
      </w:r>
    </w:p>
    <w:p>
      <w:pPr>
        <w:pStyle w:val="ListBullet"/>
      </w:pPr>
      <w:r>
        <w:t>Nicole Griffin, Research Associate</w:t>
      </w:r>
    </w:p>
    <w:p>
      <w:pPr>
        <w:pStyle w:val="ListBullet"/>
      </w:pPr>
      <w:r>
        <w:t>Barbara Banks, Chief Operating Officer, Johnson, Lopez and Brooks</w:t>
      </w:r>
    </w:p>
    <w:p>
      <w:pPr>
        <w:pStyle w:val="Heading2"/>
      </w:pPr>
      <w:r>
        <w:t>Market and Competitive Read</w:t>
      </w:r>
    </w:p>
    <w:p>
      <w:r>
        <w:t>Melissa Casey walked the room through the market sizing, which is now firm at the segment level, and the competitive map, which is taking shape. The target holds a defensible position in its core segment but is thinner in the two adjacent ones the plan counts on for growth. That gap is a finding in progress, not a conclusion, and it needs the remaining reference calls before we put weight on it. Barbara Banks asked whether the adjacent-segment weakness is a matter of product or of reach. On the evidence so far it reads as reach, the target simply not being present with the buyers in those segments, but that is exactly what the outstanding customer calls should settle, so it was logged as a question and not an answer. Melissa Casey noted that two published sources disagree on the size of the larger adjacent segment; she is reconciling them and will carry the more conservative figure until the difference is understood.</w:t>
      </w:r>
    </w:p>
    <w:p>
      <w:pPr>
        <w:pStyle w:val="Heading2"/>
      </w:pPr>
      <w:r>
        <w:t>Customers and Revenue</w:t>
      </w:r>
    </w:p>
    <w:p>
      <w:r>
        <w:t>Cynthia Hart presented the customer exhibits as they stand. Concentration is higher than the summary data first suggested: the top accounts carry more of the revenue than the plan leans on comfortably. Retention looks sound on the accounts we have data for, but two of the largest are not yet in the file, and until they are the concentration read is provisional. Barbara Banks confirmed she would push her finance team for the account-level history that is still open, and noted that one of the two accounts changed its contract terms last year, which we should factor into the retention read rather than treat the history as a single series. The reference calls completed so far support the retention picture; the ones outstanding are the larger accounts, which are the ones that matter most, and Cynthia Hart flagged that the exhibits will stay marked provisional until those two accounts are in and reconciled.</w:t>
      </w:r>
    </w:p>
    <w:p>
      <w:pPr>
        <w:pStyle w:val="Heading2"/>
      </w:pPr>
      <w:r>
        <w:t>Schedule and Access</w:t>
      </w:r>
    </w:p>
    <w:p>
      <w:r>
        <w:t>Access is the item most likely to move the timeline. The reference calls with the mid-sized accounts are booked; the largest accounts carry the read on revenue, and those introductions come from the client. Barbara Banks agreed to make them this week so the calls fall inside the next three weeks. Nicole Griffin will send the confirmed schedule to the client's office as each call is set, and will flag any account that cannot be reached in time, so that a gap is known while there is still room to work around it. On the data side, the two open account histories sit with the client's finance team; every other item on the request list is closed.</w:t>
      </w:r>
    </w:p>
    <w:p>
      <w:pPr>
        <w:pStyle w:val="Heading2"/>
      </w:pPr>
      <w:r>
        <w:t>Open Items and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Provide the account-level revenue history for the two largest customers</w:t>
            </w:r>
          </w:p>
        </w:tc>
        <w:tc>
          <w:tcPr>
            <w:tcW w:type="dxa" w:w="2880"/>
          </w:tcPr>
          <w:p>
            <w:r>
              <w:t>Barbara Banks</w:t>
            </w:r>
          </w:p>
        </w:tc>
        <w:tc>
          <w:tcPr>
            <w:tcW w:type="dxa" w:w="2880"/>
          </w:tcPr>
          <w:p>
            <w:r>
              <w:t>Before the next session</w:t>
            </w:r>
          </w:p>
        </w:tc>
      </w:tr>
      <w:tr>
        <w:tc>
          <w:tcPr>
            <w:tcW w:type="dxa" w:w="2880"/>
          </w:tcPr>
          <w:p>
            <w:r>
              <w:t>Complete the outstanding customer reference calls, largest accounts first</w:t>
            </w:r>
          </w:p>
        </w:tc>
        <w:tc>
          <w:tcPr>
            <w:tcW w:type="dxa" w:w="2880"/>
          </w:tcPr>
          <w:p>
            <w:r>
              <w:t>Nicole Griffin</w:t>
            </w:r>
          </w:p>
        </w:tc>
        <w:tc>
          <w:tcPr>
            <w:tcW w:type="dxa" w:w="2880"/>
          </w:tcPr>
          <w:p>
            <w:r>
              <w:t>Over the next three weeks</w:t>
            </w:r>
          </w:p>
        </w:tc>
      </w:tr>
      <w:tr>
        <w:tc>
          <w:tcPr>
            <w:tcW w:type="dxa" w:w="2880"/>
          </w:tcPr>
          <w:p>
            <w:r>
              <w:t>Close the competitive map on the two adjacent segments</w:t>
            </w:r>
          </w:p>
        </w:tc>
        <w:tc>
          <w:tcPr>
            <w:tcW w:type="dxa" w:w="2880"/>
          </w:tcPr>
          <w:p>
            <w:r>
              <w:t>Melissa Casey</w:t>
            </w:r>
          </w:p>
        </w:tc>
        <w:tc>
          <w:tcPr>
            <w:tcW w:type="dxa" w:w="2880"/>
          </w:tcPr>
          <w:p>
            <w:r>
              <w:t>With the reference calls</w:t>
            </w:r>
          </w:p>
        </w:tc>
      </w:tr>
      <w:tr>
        <w:tc>
          <w:tcPr>
            <w:tcW w:type="dxa" w:w="2880"/>
          </w:tcPr>
          <w:p>
            <w:r>
              <w:t>Update the concentration and retention exhibits once the account history is in</w:t>
            </w:r>
          </w:p>
        </w:tc>
        <w:tc>
          <w:tcPr>
            <w:tcW w:type="dxa" w:w="2880"/>
          </w:tcPr>
          <w:p>
            <w:r>
              <w:t>Cynthia Hart</w:t>
            </w:r>
          </w:p>
        </w:tc>
        <w:tc>
          <w:tcPr>
            <w:tcW w:type="dxa" w:w="2880"/>
          </w:tcPr>
          <w:p>
            <w:r>
              <w:t>After the data arrives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Commercial Due Diligence for Johnson, Lopez and Brooks</dc:title>
  <dc:subject/>
  <dc:creator>Nicole Griffin</dc:creator>
  <cp:keywords/>
  <dc:description>generated by python-docx</dc:description>
  <cp:lastModifiedBy>Nicole Griffin</cp:lastModifiedBy>
  <cp:revision>1</cp:revision>
  <dcterms:created xsi:type="dcterms:W3CDTF">2015-09-14T09:00:00Z</dcterms:created>
  <dcterms:modified xsi:type="dcterms:W3CDTF">2015-09-14T09:00:00Z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