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Draft Findings and Remaining Steps</w:t>
      </w:r>
    </w:p>
    <w:p>
      <w:r>
        <w:t>Recorded by Nicole Griffin. Subject: commercial due diligence for Johnson, Lopez and Brooks, review of the draft findings with the client.</w:t>
      </w:r>
    </w:p>
    <w:p>
      <w:pPr>
        <w:pStyle w:val="Heading2"/>
      </w:pPr>
      <w:r>
        <w:t>In Attendance</w:t>
      </w:r>
    </w:p>
    <w:p>
      <w:pPr>
        <w:pStyle w:val="ListBullet"/>
      </w:pPr>
      <w:r>
        <w:t>Melissa Casey, Research Associate</w:t>
      </w:r>
    </w:p>
    <w:p>
      <w:pPr>
        <w:pStyle w:val="ListBullet"/>
      </w:pPr>
      <w:r>
        <w:t>Cynthia Hart, Research Associate</w:t>
      </w:r>
    </w:p>
    <w:p>
      <w:pPr>
        <w:pStyle w:val="ListBullet"/>
      </w:pPr>
      <w:r>
        <w:t>Nicole Griffin, Research Associate</w:t>
      </w:r>
    </w:p>
    <w:p>
      <w:pPr>
        <w:pStyle w:val="ListBullet"/>
      </w:pPr>
      <w:r>
        <w:t>Barbara Banks, Chief Operating Officer, Johnson, Lopez and Brooks</w:t>
      </w:r>
    </w:p>
    <w:p>
      <w:pPr>
        <w:pStyle w:val="Heading2"/>
      </w:pPr>
      <w:r>
        <w:t>Draft Findings</w:t>
      </w:r>
    </w:p>
    <w:p>
      <w:r>
        <w:t>Melissa Casey took the session through the draft findings, which are now firm on the points that matter. The target's core market and its position within it hold up; the growth the plan expects from the two adjacent segments does not, and the report says so directly, with the reference evidence behind it. The revenue is more concentrated than the plan assumed, but retention across the top accounts is sound now that the full account history is in, so the concentration is a risk to note rather than a reason to walk away. Barbara Banks asked how far the adjacent-segment conclusion could be pushed; the answer is that it is well supported by the reference calls and the market data both, and it will stand in the report as written.</w:t>
      </w:r>
    </w:p>
    <w:p>
      <w:pPr>
        <w:pStyle w:val="Heading2"/>
      </w:pPr>
      <w:r>
        <w:t>Client Comments on the Draft</w:t>
      </w:r>
    </w:p>
    <w:p>
      <w:r>
        <w:t>Barbara Banks raised two points on the draft for the record. She asked that the concentration risk be stated plainly rather than softened, since the board will weigh it directly, and Melissa Casey confirmed the report already puts it in those terms. She also asked whether the adjacent-segment finding, which cuts against the plan's assumption, would hold up if the target's management challenged it; the reference evidence behind it is complete, and it will carry that weight. No change to the findings came out of the discussion. The draft stands as reviewed, and the work remaining is production rather than analysis.</w:t>
      </w:r>
    </w:p>
    <w:p>
      <w:pPr>
        <w:pStyle w:val="Heading2"/>
      </w:pPr>
      <w:r>
        <w:t>Data Now Closed</w:t>
      </w:r>
    </w:p>
    <w:p>
      <w:r>
        <w:t>The two large-account histories that were open at the last session are in, and Cynthia Hart has folded them into the concentration and retention exhibits, which are now final. Nicole Griffin confirmed that the information-request log carries no open items on the client's side, and that every figure in the exhibits now traces to a source in the file. The reference program is complete, the largest accounts included, and their calls are reflected in the revenue read. Nothing analytical is left open; what remains is checking, assembling, and issuing.</w:t>
      </w:r>
    </w:p>
    <w:p>
      <w:pPr>
        <w:pStyle w:val="Heading2"/>
      </w:pPr>
      <w:r>
        <w:t>Steps to Close</w:t>
      </w:r>
    </w:p>
    <w:p>
      <w:pPr>
        <w:pStyle w:val="ListBullet"/>
      </w:pPr>
      <w:r>
        <w:t>Melissa Casey finalizes the report narrative against the reviewed draft, with no open findings remaining and the concentration risk stated in the plain terms the client asked for.</w:t>
      </w:r>
    </w:p>
    <w:p>
      <w:pPr>
        <w:pStyle w:val="ListBullet"/>
      </w:pPr>
      <w:r>
        <w:t>Cynthia Hart locks the exhibits and checks every figure back to its source before the report is issued, since a number that does not tie undoes the finding it supports.</w:t>
      </w:r>
    </w:p>
    <w:p>
      <w:pPr>
        <w:pStyle w:val="ListBullet"/>
      </w:pPr>
      <w:r>
        <w:t>Nicole Griffin assembles the source appendix so that every claim in the report can be traced to the document or the reference call behind it, and confirms nothing cited is left unsupported.</w:t>
      </w:r>
    </w:p>
    <w:p>
      <w:pPr>
        <w:pStyle w:val="ListBullet"/>
      </w:pPr>
      <w:r>
        <w:t>Barbara Banks to confirm, on the client's side, who receives the final report and in what form, so distribution is settled before the report is ready to send.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Commercial Due Diligence for Johnson, Lopez and Brooks</dc:title>
  <dc:subject/>
  <dc:creator>Nicole Griffin</dc:creator>
  <cp:keywords/>
  <dc:description>generated by python-docx</dc:description>
  <cp:lastModifiedBy>Nicole Griffin</cp:lastModifiedBy>
  <cp:revision>1</cp:revision>
  <dcterms:created xsi:type="dcterms:W3CDTF">2015-12-11T09:00:00Z</dcterms:created>
  <dcterms:modified xsi:type="dcterms:W3CDTF">2015-12-11T09:00:00Z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