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Growth Strategy for Key Group: Midpoint Status</w:t>
      </w:r>
    </w:p>
    <w:p>
      <w:r>
        <w:t>Prepared by Brenda Rodriguez, Senior Consultant. This is the periodic status for the Key Group finance office, covering the work since the last briefing. The engagement is about halfway through its roughly seven-month course, and the analysis is now far enough along that I can report a first real finding rather than a plan. I have led with that finding below, then set out what closed this period, where each piece of the work stands, what the coming weeks hold, the state of the budget, and the two exposures I am watching.</w:t>
      </w:r>
    </w:p>
    <w:p>
      <w:pPr>
        <w:pStyle w:val="Heading2"/>
      </w:pPr>
      <w:r>
        <w:t>The finding that matters most so far</w:t>
      </w:r>
    </w:p>
    <w:p>
      <w:r>
        <w:t>Growth in Key Group's two largest segments is concentrated, not broad. In each of the two, a small set of accounts carries most of the increase over the period we measured, while the rest of the base is close to flat. I want to be careful about how far this is proven. It is a measurement taken from the segment and customer files your finance team sent, and it has held across every cut we have run, but it tells us what is happening and not yet why. The why is what the option work will test. I raise it now because it changes the shape of the growth question you have put to us. If the increase really sits in a handful of accounts, then defending and deepening those accounts is a different task from lifting the whole base, and the two would not carry the same cost or the same risk. I am surfacing it at this point because it bears directly on how the growth options get framed.</w:t>
      </w:r>
    </w:p>
    <w:p>
      <w:pPr>
        <w:pStyle w:val="Heading2"/>
      </w:pPr>
      <w:r>
        <w:t>What closed this period</w:t>
      </w:r>
    </w:p>
    <w:p>
      <w:pPr>
        <w:pStyle w:val="ListBullet"/>
      </w:pPr>
      <w:r>
        <w:t>The current-position read is now built to the customer level for both large segments. The two months in the second-largest segment that had been coming through only at the segment total have been reconciled against the customer file, and the concentration finding still holds after that reconciliation.</w:t>
      </w:r>
    </w:p>
    <w:p>
      <w:pPr>
        <w:pStyle w:val="ListBullet"/>
      </w:pPr>
      <w:r>
        <w:t>The interviews with the four segment leads are complete. The last of them, with the head of the industrial line, closed this period and is folded into the read; nothing in it moved the picture the earlier three had drawn.</w:t>
      </w:r>
    </w:p>
    <w:p>
      <w:pPr>
        <w:pStyle w:val="ListBullet"/>
      </w:pPr>
      <w:r>
        <w:t>Daniel Leach has taken the market sizing well past the halfway mark. The segments Key Group serves are sized, and the near segments it does not serve are sized from published sources, with the single exception noted under the exposures below.</w:t>
      </w:r>
    </w:p>
    <w:p>
      <w:pPr>
        <w:pStyle w:val="Heading2"/>
      </w:pPr>
      <w:r>
        <w:t>How the pieces stand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Piece of work</w:t>
            </w:r>
          </w:p>
        </w:tc>
        <w:tc>
          <w:tcPr>
            <w:tcW w:type="dxa" w:w="2880"/>
          </w:tcPr>
          <w:p>
            <w:r>
              <w:rPr>
                <w:b/>
              </w:rPr>
              <w:t>State</w:t>
            </w:r>
          </w:p>
        </w:tc>
        <w:tc>
          <w:tcPr>
            <w:tcW w:type="dxa" w:w="2880"/>
          </w:tcPr>
          <w:p>
            <w:r>
              <w:rPr>
                <w:b/>
              </w:rPr>
              <w:t>Note</w:t>
            </w:r>
          </w:p>
        </w:tc>
      </w:tr>
      <w:tr>
        <w:tc>
          <w:tcPr>
            <w:tcW w:type="dxa" w:w="2880"/>
          </w:tcPr>
          <w:p>
            <w:r>
              <w:t>Current position</w:t>
            </w:r>
          </w:p>
        </w:tc>
        <w:tc>
          <w:tcPr>
            <w:tcW w:type="dxa" w:w="2880"/>
          </w:tcPr>
          <w:p>
            <w:r>
              <w:t>Complete</w:t>
            </w:r>
          </w:p>
        </w:tc>
        <w:tc>
          <w:tcPr>
            <w:tcW w:type="dxa" w:w="2880"/>
          </w:tcPr>
          <w:p>
            <w:r>
              <w:t>Segment and customer level; the open reconciliation is closed</w:t>
            </w:r>
          </w:p>
        </w:tc>
      </w:tr>
      <w:tr>
        <w:tc>
          <w:tcPr>
            <w:tcW w:type="dxa" w:w="2880"/>
          </w:tcPr>
          <w:p>
            <w:r>
              <w:t>Segment-lead interviews</w:t>
            </w:r>
          </w:p>
        </w:tc>
        <w:tc>
          <w:tcPr>
            <w:tcW w:type="dxa" w:w="2880"/>
          </w:tcPr>
          <w:p>
            <w:r>
              <w:t>Complete</w:t>
            </w:r>
          </w:p>
        </w:tc>
        <w:tc>
          <w:tcPr>
            <w:tcW w:type="dxa" w:w="2880"/>
          </w:tcPr>
          <w:p>
            <w:r>
              <w:t>All four done and integrated into the read</w:t>
            </w:r>
          </w:p>
        </w:tc>
      </w:tr>
      <w:tr>
        <w:tc>
          <w:tcPr>
            <w:tcW w:type="dxa" w:w="2880"/>
          </w:tcPr>
          <w:p>
            <w:r>
              <w:t>Market sizing</w:t>
            </w:r>
          </w:p>
        </w:tc>
        <w:tc>
          <w:tcPr>
            <w:tcW w:type="dxa" w:w="2880"/>
          </w:tcPr>
          <w:p>
            <w:r>
              <w:t>Well advanced</w:t>
            </w:r>
          </w:p>
        </w:tc>
        <w:tc>
          <w:tcPr>
            <w:tcW w:type="dxa" w:w="2880"/>
          </w:tcPr>
          <w:p>
            <w:r>
              <w:t>One adjacent segment still awaiting a third source</w:t>
            </w:r>
          </w:p>
        </w:tc>
      </w:tr>
      <w:tr>
        <w:tc>
          <w:tcPr>
            <w:tcW w:type="dxa" w:w="2880"/>
          </w:tcPr>
          <w:p>
            <w:r>
              <w:t>Growth options</w:t>
            </w:r>
          </w:p>
        </w:tc>
        <w:tc>
          <w:tcPr>
            <w:tcW w:type="dxa" w:w="2880"/>
          </w:tcPr>
          <w:p>
            <w:r>
              <w:t>Being framed</w:t>
            </w:r>
          </w:p>
        </w:tc>
        <w:tc>
          <w:tcPr>
            <w:tcW w:type="dxa" w:w="2880"/>
          </w:tcPr>
          <w:p>
            <w:r>
              <w:t>Requirements and returns in draft; not yet ranked</w:t>
            </w:r>
          </w:p>
        </w:tc>
      </w:tr>
    </w:tbl>
    <w:p>
      <w:pPr>
        <w:pStyle w:val="Heading2"/>
      </w:pPr>
      <w:r>
        <w:t>The next several weeks</w:t>
      </w:r>
    </w:p>
    <w:p>
      <w:r>
        <w:t>The work now turns from describing the business to testing where it can grow. Over the coming weeks Daniel Leach will finish the sizing, and I will frame the three growth options in full: deeper penetration of the concentrated core accounts, extension into the nearest adjacent segment, and geographic extension of the existing lines. Each option will arrive with an honest account of what it would take and what it would return, or it will not go on the list. I am not ranking them yet. The sizing is not closed, and a ranking put forward now would set into a recommendation before the evidence carries it. We will bring the framed options to the next working session for discussion. The ranking and the implementation plan belong to the final stretch of the engagement, and the aim is for your team to weigh the options with us before any recommendation is settled.</w:t>
      </w:r>
    </w:p>
    <w:p>
      <w:pPr>
        <w:pStyle w:val="Heading2"/>
      </w:pPr>
      <w:r>
        <w:t>The budget</w:t>
      </w:r>
    </w:p>
    <w:p>
      <w:r>
        <w:t>The work described here remains inside the fixed fee of $113,000 agreed at the outset. Nothing in the current scope has run against that figure in a way that concerns me, and I do not foresee a change to either the scope or the fee through the option work. If something you tell us at the next session widens the scope, we will price the addition in writing before we begin it, as the engagement letter provides. Nothing on the table now does.</w:t>
      </w:r>
    </w:p>
    <w:p>
      <w:pPr>
        <w:pStyle w:val="Heading2"/>
      </w:pPr>
      <w:r>
        <w:t>What I am watching</w:t>
      </w:r>
    </w:p>
    <w:p>
      <w:r>
        <w:t>Two exposures are worth naming plainly. The first is the size of one adjacent segment. The published sources disagree by a wide margin, and until a third source settles it, the sizing there carries a range and not a point. Daniel Leach is chasing that source now. It matters because that segment is a candidate for the extension option, and a wide range there would weaken any ranking we tried to build on it. The second is an assumption I have not yet been able to retire: that the way Key Group books its segments lines up with how the market actually divides. It has held everywhere I have checked, but if it slips in the adjacent-segment work, some of the sizing would need recutting. Neither exposure threatens the schedule today. I am telling you about both so that if either one moves, it does not reach you as a surprise.</w:t>
      </w:r>
    </w:p>
    <w:p>
      <w:r>
        <w:t>I will send the next status after the option-framing session. Questions on the analysis are best directed to me; anything on the underlying data is fastest with Daniel Leach, who holds the files and the source list.</w:t>
      </w:r>
    </w:p>
    <w:p>
      <w:r>
        <w:t>Brenda Rodriguez, Senior Consultant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Growth Strategy for Key Group</dc:title>
  <dc:subject/>
  <dc:creator>Brenda Rodriguez</dc:creator>
  <cp:keywords/>
  <dc:description>generated by python-docx</dc:description>
  <cp:lastModifiedBy>Brenda Rodriguez</cp:lastModifiedBy>
  <cp:revision>1</cp:revision>
  <dcterms:created xsi:type="dcterms:W3CDTF">2009-10-14T09:00:00Z</dcterms:created>
  <dcterms:modified xsi:type="dcterms:W3CDTF">2009-10-14T09:00:00Z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