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Shared Services Design</w:t>
      </w:r>
    </w:p>
    <w:p>
      <w:r>
        <w:t>Prepared by Daniel Cisneros for the finance sponsor at Key Group, covering the four weeks to this report and reviewed by Jason Torres. Client of record: Key Group. The engagement stands at roughly its midpoint.</w:t>
      </w:r>
    </w:p>
    <w:p>
      <w:pPr>
        <w:pStyle w:val="Heading2"/>
      </w:pPr>
      <w:r>
        <w:t>Where the work stands</w:t>
      </w:r>
    </w:p>
    <w:p>
      <w:r>
        <w:t>The engagement reached its midpoint this period and is on plan. The baseline of the four support functions is complete, and we have begun turning it into the first design option for the shared organization. Measured against the engagement budget of $105,500, we are a little under half spent, which tracks the work done rather than the calendar; the heavier design and business-case hours fall in the periods ahead, and the budget was built around that. Nothing found so far points to a change in the fee or the schedule.</w:t>
      </w:r>
    </w:p>
    <w:p>
      <w:r>
        <w:t>Put simply: the measurement phase is essentially done, the numbers match what we expected at the outset, and the work now moves from describing how the four functions run today to designing how a shared organization would run them. We are not recommending a design yet, and will not until the options are built and tested.</w:t>
      </w:r>
    </w:p>
    <w:p>
      <w:pPr>
        <w:pStyle w:val="Heading2"/>
      </w:pPr>
      <w:r>
        <w:t>Completed this period</w:t>
      </w:r>
    </w:p>
    <w:p>
      <w:pPr>
        <w:pStyle w:val="ListBullet"/>
      </w:pPr>
      <w:r>
        <w:t>Finished the baseline of spend, headcount, and service levels for finance, procurement, human resources, and IT across every operating unit.</w:t>
      </w:r>
    </w:p>
    <w:p>
      <w:pPr>
        <w:pStyle w:val="ListBullet"/>
      </w:pPr>
      <w:r>
        <w:t>Reconciled the function-level costs to the general ledger with your finance team, so the baseline matches the figures your own reporting produces.</w:t>
      </w:r>
    </w:p>
    <w:p>
      <w:pPr>
        <w:pStyle w:val="ListBullet"/>
      </w:pPr>
      <w:r>
        <w:t>Confirmed that the cost per transaction in finance and procurement runs well above what a consolidated team would carry, which is the result that points toward a shared model.</w:t>
      </w:r>
    </w:p>
    <w:p>
      <w:pPr>
        <w:pStyle w:val="ListBullet"/>
      </w:pPr>
      <w:r>
        <w:t>Closed the last open data item, the IT help-desk figures for one unit, so there are no outstanding requests on our side.</w:t>
      </w:r>
    </w:p>
    <w:p>
      <w:r>
        <w:t>We have kept all of this on the measurement side of the line. Each result feeds the design, and we mark it that way on every exhibit, so that a figure is not read as a conclusion before one exists. The one point already firm enough to state is direction, not magnitude: the cost of running these functions inside each unit is higher than a shared model would carry, and the coming period is about sizing that gap and testing what it would take to close it.</w:t>
      </w:r>
    </w:p>
    <w:p>
      <w:pPr>
        <w:pStyle w:val="Heading2"/>
      </w:pPr>
      <w:r>
        <w:t>The coming period</w:t>
      </w:r>
    </w:p>
    <w:p>
      <w:pPr>
        <w:pStyle w:val="ListBullet"/>
      </w:pPr>
      <w:r>
        <w:t>Jason Torres develops the first design option: which processes the shared organization takes on, its service catalogue, and the service levels attached to each.</w:t>
      </w:r>
    </w:p>
    <w:p>
      <w:pPr>
        <w:pStyle w:val="ListBullet"/>
      </w:pPr>
      <w:r>
        <w:t>We draft the chargeback rules that keep the shared organization answerable to the units it serves, since control, not cost, is the units' first concern.</w:t>
      </w:r>
    </w:p>
    <w:p>
      <w:pPr>
        <w:pStyle w:val="ListBullet"/>
      </w:pPr>
      <w:r>
        <w:t>We build the cost model beneath the design, so the business case rests on the same figures as the baseline.</w:t>
      </w:r>
    </w:p>
    <w:p>
      <w:pPr>
        <w:pStyle w:val="ListBullet"/>
      </w:pPr>
      <w:r>
        <w:t>We bring a first, clearly labeled design option to the next working session, its cost and its effect on service set out side by side, so the session weighs a real option instead of reacting to a finished answer.</w:t>
      </w:r>
    </w:p>
    <w:p>
      <w:pPr>
        <w:pStyle w:val="Heading2"/>
      </w:pPr>
      <w:r>
        <w:t>Risks we are watching</w:t>
      </w:r>
    </w:p>
    <w:p>
      <w:pPr>
        <w:pStyle w:val="ListBullet"/>
      </w:pPr>
      <w:r>
        <w:t>Unit control. The unit heads worry about losing control of their service once work moves to a shared team. This is a governance question, and if the catalogue and chargeback rules do not answer it convincingly the design will stall whatever the saving. We are treating it as a design requirement, not an afterthought.</w:t>
      </w:r>
    </w:p>
    <w:p>
      <w:pPr>
        <w:pStyle w:val="ListBullet"/>
      </w:pPr>
      <w:r>
        <w:t>The smallest unit. Its volumes are low enough that folding it into the first wave would add cost and risk for little saving. We expect to hold it out, and will say so plainly in the option memo.</w:t>
      </w:r>
    </w:p>
    <w:p>
      <w:pPr>
        <w:pStyle w:val="ListBullet"/>
      </w:pPr>
      <w:r>
        <w:t>Scope discipline. Two of your managers have raised systems questions that sit just outside the design scope. We have noted them and will flag any that would change the fee before doing the work, not after.</w:t>
      </w:r>
    </w:p>
    <w:p>
      <w:r>
        <w:t>In short, the engagement is where it should be at the halfway mark, and the coming period turns the baseline into a design your leadership can weigh. If the next period runs to plan, the first option will be in your hands well before the final month. I will keep this report on its monthly cadence for Key Group, and the request log stays current for anyone on your side who wants to see what is outstanding.</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Shared Services Design for Key Group</dc:title>
  <dc:subject/>
  <dc:creator>Daniel Cisneros</dc:creator>
  <cp:keywords/>
  <dc:description>generated by python-docx</dc:description>
  <cp:lastModifiedBy>Daniel Cisneros</cp:lastModifiedBy>
  <cp:revision>1</cp:revision>
  <dcterms:created xsi:type="dcterms:W3CDTF">2018-06-06T09:00:00Z</dcterms:created>
  <dcterms:modified xsi:type="dcterms:W3CDTF">2018-06-06T09:00:00Z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