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Current Position and Growth Options</w:t>
      </w:r>
    </w:p>
    <w:p>
      <w:r>
        <w:t>Minutes recorded by Daniel Leach. Subject: Key Group, working session with the client on the growth strategy. The notes below follow the order of discussion.</w:t>
      </w:r>
    </w:p>
    <w:p>
      <w:pPr>
        <w:pStyle w:val="Heading2"/>
      </w:pPr>
      <w:r>
        <w:t>Attendees</w:t>
      </w:r>
    </w:p>
    <w:p>
      <w:pPr>
        <w:pStyle w:val="ListBullet"/>
      </w:pPr>
      <w:r>
        <w:t>Brenda Rodriguez, Senior Consultant</w:t>
      </w:r>
    </w:p>
    <w:p>
      <w:pPr>
        <w:pStyle w:val="ListBullet"/>
      </w:pPr>
      <w:r>
        <w:t>Daniel Leach, Research Associate</w:t>
      </w:r>
    </w:p>
    <w:p>
      <w:pPr>
        <w:pStyle w:val="ListBullet"/>
      </w:pPr>
      <w:r>
        <w:t>Steven Lowe, Vice President, Finance, Key Group</w:t>
      </w:r>
    </w:p>
    <w:p>
      <w:pPr>
        <w:pStyle w:val="Heading2"/>
      </w:pPr>
      <w:r>
        <w:t>Current Position</w:t>
      </w:r>
    </w:p>
    <w:p>
      <w:r>
        <w:t>Brenda Rodriguez presented the current-position analysis as it now stands. The finding she put forward is that growth in the two largest segments is concentrated: in each, a small number of accounts account for the majority of the increase over the period, while the wider base is close to flat. She was careful to mark this as a measurement from the segment and customer files, not yet a conclusion about why, and she noted that the second-largest segment still comes through at the segment total for two months of the period, which she is reconciling before she will call the number firm. Steven Lowe said the concentration matched his own sense of the largest segment, and he offered two account names we had not yet tied to the pattern. I recorded both for follow-up.</w:t>
      </w:r>
    </w:p>
    <w:p>
      <w:pPr>
        <w:pStyle w:val="Heading2"/>
      </w:pPr>
      <w:r>
        <w:t>Market Sizing</w:t>
      </w:r>
    </w:p>
    <w:p>
      <w:r>
        <w:t>I walked the table through the market sizing as far as it has gone. The segments Key Group serves are, in total, smaller than the adjacent segments the company does not serve today, and demand in those adjacent segments is growing faster than in the core. I noted two limits on the figures. First, the published sources disagree on the size of one adjacent segment by a wide margin, and I have used the lower of the two pending a third source. Second, the sizing is roughly half complete and the numbers should be read as provisional. Brenda Rodriguez asked that the range, not a single point, carry into the option work until the third source is in, and it was agreed.</w:t>
      </w:r>
    </w:p>
    <w:p>
      <w:pPr>
        <w:pStyle w:val="Heading2"/>
      </w:pPr>
      <w:r>
        <w:t>Growth Options, in Outline</w:t>
      </w:r>
    </w:p>
    <w:p>
      <w:r>
        <w:t>We reviewed the growth options in outline, without ranking them. Three are on the working list: deeper penetration of the concentrated accounts in the core, extension into the nearest adjacent segment, and geographic extension of the existing lines. Steven Lowe asked which of the three the analysis currently favors. Brenda Rodriguez declined to rank them yet, on the ground that the market sizing is not closed and a ranking made now would harden into a recommendation before the evidence supports one. It was agreed that the options would be framed with their requirements and returns at the next session, and ranked only after.</w:t>
      </w:r>
    </w:p>
    <w:p>
      <w:pPr>
        <w:pStyle w:val="Heading2"/>
      </w:pPr>
      <w:r>
        <w:t>Open Items</w:t>
      </w:r>
    </w:p>
    <w:p>
      <w:r>
        <w:t>Two items remain open, and both bear on the option work. The first is the reconciliation of the two months in the second-largest segment, which Brenda Rodriguez holds. The second is the third market source for the disputed adjacent segment, which I hold. Neither should be treated as settled in the interim.</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Reconcile the two open months in the second-largest segment and confirm the concentration finding</w:t>
            </w:r>
          </w:p>
        </w:tc>
        <w:tc>
          <w:tcPr>
            <w:tcW w:type="dxa" w:w="2880"/>
          </w:tcPr>
          <w:p>
            <w:r>
              <w:t>Brenda Rodriguez</w:t>
            </w:r>
          </w:p>
        </w:tc>
        <w:tc>
          <w:tcPr>
            <w:tcW w:type="dxa" w:w="2880"/>
          </w:tcPr>
          <w:p>
            <w:r>
              <w:t>Before the next working session</w:t>
            </w:r>
          </w:p>
        </w:tc>
      </w:tr>
      <w:tr>
        <w:tc>
          <w:tcPr>
            <w:tcW w:type="dxa" w:w="2880"/>
          </w:tcPr>
          <w:p>
            <w:r>
              <w:t>Obtain a third source for the disputed adjacent segment and carry the range into the sizing</w:t>
            </w:r>
          </w:p>
        </w:tc>
        <w:tc>
          <w:tcPr>
            <w:tcW w:type="dxa" w:w="2880"/>
          </w:tcPr>
          <w:p>
            <w:r>
              <w:t>Daniel Leach</w:t>
            </w:r>
          </w:p>
        </w:tc>
        <w:tc>
          <w:tcPr>
            <w:tcW w:type="dxa" w:w="2880"/>
          </w:tcPr>
          <w:p>
            <w:r>
              <w:t>Before the option framing</w:t>
            </w:r>
          </w:p>
        </w:tc>
      </w:tr>
      <w:tr>
        <w:tc>
          <w:tcPr>
            <w:tcW w:type="dxa" w:w="2880"/>
          </w:tcPr>
          <w:p>
            <w:r>
              <w:t>Provide the two additional account names tied to the concentration pattern</w:t>
            </w:r>
          </w:p>
        </w:tc>
        <w:tc>
          <w:tcPr>
            <w:tcW w:type="dxa" w:w="2880"/>
          </w:tcPr>
          <w:p>
            <w:r>
              <w:t>Steven Lowe</w:t>
            </w:r>
          </w:p>
        </w:tc>
        <w:tc>
          <w:tcPr>
            <w:tcW w:type="dxa" w:w="2880"/>
          </w:tcPr>
          <w:p>
            <w:r>
              <w:t>Within the week</w:t>
            </w:r>
          </w:p>
        </w:tc>
      </w:tr>
      <w:tr>
        <w:tc>
          <w:tcPr>
            <w:tcW w:type="dxa" w:w="2880"/>
          </w:tcPr>
          <w:p>
            <w:r>
              <w:t>Frame the three growth options with their requirements and returns, unranked</w:t>
            </w:r>
          </w:p>
        </w:tc>
        <w:tc>
          <w:tcPr>
            <w:tcW w:type="dxa" w:w="2880"/>
          </w:tcPr>
          <w:p>
            <w:r>
              <w:t>Brenda Rodriguez</w:t>
            </w:r>
          </w:p>
        </w:tc>
        <w:tc>
          <w:tcPr>
            <w:tcW w:type="dxa" w:w="2880"/>
          </w:tcPr>
          <w:p>
            <w:r>
              <w:t>For the next working session</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Growth Strategy for Key Group</dc:title>
  <dc:subject/>
  <dc:creator>Daniel Leach</dc:creator>
  <cp:keywords/>
  <dc:description>generated by python-docx</dc:description>
  <cp:lastModifiedBy>Daniel Leach</cp:lastModifiedBy>
  <cp:revision>1</cp:revision>
  <dcterms:created xsi:type="dcterms:W3CDTF">2009-09-24T09:00:00Z</dcterms:created>
  <dcterms:modified xsi:type="dcterms:W3CDTF">2009-09-24T09:00:00Z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