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Growth Strategy for Key Group</w:t>
      </w:r>
    </w:p>
    <w:p>
      <w:r>
        <w:t>Recorded by Daniel Leach. The session reviewed the ranked growth options and the draft recommendation now in preparation, and settled what the final deliverable will contain. The engagement is in its closing phase, and the material we discussed is the last substantive work before the final report is assembled. The notes below follow the order in which the items were taken up.</w:t>
      </w:r>
    </w:p>
    <w:p>
      <w:pPr>
        <w:pStyle w:val="Heading2"/>
      </w:pPr>
      <w:r>
        <w:t>Present</w:t>
      </w:r>
    </w:p>
    <w:p>
      <w:pPr>
        <w:pStyle w:val="ListBullet"/>
      </w:pPr>
      <w:r>
        <w:t>Brenda Rodriguez, Senior Consultant</w:t>
      </w:r>
    </w:p>
    <w:p>
      <w:pPr>
        <w:pStyle w:val="ListBullet"/>
      </w:pPr>
      <w:r>
        <w:t>Daniel Leach, Research Associate</w:t>
      </w:r>
    </w:p>
    <w:p>
      <w:pPr>
        <w:pStyle w:val="ListBullet"/>
      </w:pPr>
      <w:r>
        <w:t>Steven Lowe, Vice President, Finance, Key Group</w:t>
      </w:r>
    </w:p>
    <w:p>
      <w:pPr>
        <w:pStyle w:val="Heading2"/>
      </w:pPr>
      <w:r>
        <w:t>Analysis now closed</w:t>
      </w:r>
    </w:p>
    <w:p>
      <w:r>
        <w:t>Brenda Rodriguez reported that the two reconciliation items left open at the previous session are both closed. The two months in the second-largest segment that had been running at the segment total have been tied back to the customer file, and the concentration finding is unchanged after the reconciliation: in each of the two largest segments, a small set of accounts carries the majority of the growth while the remainder of the base is flat. I confirmed for the record that the third source for the disputed adjacent segment is now in hand. It sits between the two earlier sources, so the sizing there moves from the lower bound we had been using to a supported midpoint, and the range narrows to within the tolerance the team had set. With that, the market sizing is complete.</w:t>
      </w:r>
    </w:p>
    <w:p>
      <w:pPr>
        <w:pStyle w:val="Heading2"/>
      </w:pPr>
      <w:r>
        <w:t>The ranked options</w:t>
      </w:r>
    </w:p>
    <w:p>
      <w:r>
        <w:t>With the sizing closed, Brenda Rodriguez presented the three growth options in ranked order for the first time. The analysis favors deeper penetration of the concentrated core accounts, on the ground that the growth already sits there and the cost to defend and extend it is the most predictable of the three. Extension into the nearest adjacent segment ranks second; it is the larger prize but the more contested, and it still carries the wider range even after the third source. Geographic extension ranks third, on thinner evidence than the other two. Brenda Rodriguez was explicit that the ranking is a recommendation and not a certainty, and that the gap between the first and second options is smaller than the gap between the second and third. Steven Lowe asked what would move the second option above the first. The answer recorded was a firmer read on near-term demand in the contested segment, which the present sources do not provide. I asked whether we should note that dependency in the report itself, and it was agreed that we would.</w:t>
      </w:r>
    </w:p>
    <w:p>
      <w:pPr>
        <w:pStyle w:val="Heading2"/>
      </w:pPr>
      <w:r>
        <w:t>The final deliverable</w:t>
      </w:r>
    </w:p>
    <w:p>
      <w:r>
        <w:t>The session agreed what the final material will contain: the current-position read, the completed sizing with its sources, the three options with their requirements and returns, the ranking with its reasoning, and a sequenced plan for the options worth pursuing. Steven Lowe asked that the account-level detail behind the concentration finding be carried in an appendix rather than the body, so the report can go to his board without exposing individual accounts on the page. Brenda Rodriguez agreed. I asked whether the board would want the sizing sources listed in full or summarized; Steven Lowe asked for the full list, so that any figure in the report can be traced back to a source. It was agreed that the draft would go to Steven Lowe first for a read, and that the team would walk the final material through with him before it is issued.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Assemble the account-level detail into an appendix and keep it out of the report body</w:t>
            </w:r>
          </w:p>
        </w:tc>
        <w:tc>
          <w:tcPr>
            <w:tcW w:type="dxa" w:w="2880"/>
          </w:tcPr>
          <w:p>
            <w:r>
              <w:t>Daniel Leach</w:t>
            </w:r>
          </w:p>
        </w:tc>
        <w:tc>
          <w:tcPr>
            <w:tcW w:type="dxa" w:w="2880"/>
          </w:tcPr>
          <w:p>
            <w:r>
              <w:t>With the draft</w:t>
            </w:r>
          </w:p>
        </w:tc>
      </w:tr>
      <w:tr>
        <w:tc>
          <w:tcPr>
            <w:tcW w:type="dxa" w:w="2880"/>
          </w:tcPr>
          <w:p>
            <w:r>
              <w:t>Draft the ranking section, stating the reasoning and the gaps between the options plainly</w:t>
            </w:r>
          </w:p>
        </w:tc>
        <w:tc>
          <w:tcPr>
            <w:tcW w:type="dxa" w:w="2880"/>
          </w:tcPr>
          <w:p>
            <w:r>
              <w:t>Brenda Rodriguez</w:t>
            </w:r>
          </w:p>
        </w:tc>
        <w:tc>
          <w:tcPr>
            <w:tcW w:type="dxa" w:w="2880"/>
          </w:tcPr>
          <w:p>
            <w:r>
              <w:t>For the client read</w:t>
            </w:r>
          </w:p>
        </w:tc>
      </w:tr>
      <w:tr>
        <w:tc>
          <w:tcPr>
            <w:tcW w:type="dxa" w:w="2880"/>
          </w:tcPr>
          <w:p>
            <w:r>
              <w:t>Compile the full list of sizing sources for the appendix</w:t>
            </w:r>
          </w:p>
        </w:tc>
        <w:tc>
          <w:tcPr>
            <w:tcW w:type="dxa" w:w="2880"/>
          </w:tcPr>
          <w:p>
            <w:r>
              <w:t>Daniel Leach</w:t>
            </w:r>
          </w:p>
        </w:tc>
        <w:tc>
          <w:tcPr>
            <w:tcW w:type="dxa" w:w="2880"/>
          </w:tcPr>
          <w:p>
            <w:r>
              <w:t>With the draft</w:t>
            </w:r>
          </w:p>
        </w:tc>
      </w:tr>
      <w:tr>
        <w:tc>
          <w:tcPr>
            <w:tcW w:type="dxa" w:w="2880"/>
          </w:tcPr>
          <w:p>
            <w:r>
              <w:t>Return comments on the draft ahead of the walk-through</w:t>
            </w:r>
          </w:p>
        </w:tc>
        <w:tc>
          <w:tcPr>
            <w:tcW w:type="dxa" w:w="2880"/>
          </w:tcPr>
          <w:p>
            <w:r>
              <w:t>Steven Lowe</w:t>
            </w:r>
          </w:p>
        </w:tc>
        <w:tc>
          <w:tcPr>
            <w:tcW w:type="dxa" w:w="2880"/>
          </w:tcPr>
          <w:p>
            <w:r>
              <w:t>Early in the new year</w:t>
            </w:r>
          </w:p>
        </w:tc>
      </w:tr>
    </w:tbl>
    <w:p>
      <w:r>
        <w:t>The walk-through will be scheduled for early in the new year, once Steven Lowe has read the draft. Minutes recorded and circulated by Daniel Leach.</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Growth Strategy for Key Group</dc:title>
  <dc:subject/>
  <dc:creator>Daniel Leach</dc:creator>
  <cp:keywords/>
  <dc:description>generated by python-docx</dc:description>
  <cp:lastModifiedBy>Daniel Leach</cp:lastModifiedBy>
  <cp:revision>1</cp:revision>
  <dcterms:created xsi:type="dcterms:W3CDTF">2009-12-23T09:00:00Z</dcterms:created>
  <dcterms:modified xsi:type="dcterms:W3CDTF">2009-12-23T09:00:00Z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