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Notes from the working session on the shared services design for Key Group, at the client's offices. Recorded by Jason Torres.</w:t>
      </w:r>
    </w:p>
    <w:p>
      <w:pPr>
        <w:pStyle w:val="Heading2"/>
      </w:pPr>
      <w:r>
        <w:t>Present at the session</w:t>
      </w:r>
    </w:p>
    <w:p>
      <w:pPr>
        <w:pStyle w:val="ListBullet"/>
      </w:pPr>
      <w:r>
        <w:t>Jason Torres, Principal</w:t>
      </w:r>
    </w:p>
    <w:p>
      <w:pPr>
        <w:pStyle w:val="ListBullet"/>
      </w:pPr>
      <w:r>
        <w:t>Daniel Cisneros, Research Associate</w:t>
      </w:r>
    </w:p>
    <w:p>
      <w:pPr>
        <w:pStyle w:val="ListBullet"/>
      </w:pPr>
      <w:r>
        <w:t>Steven Lowe, VP Finance, Key Group</w:t>
      </w:r>
    </w:p>
    <w:p>
      <w:pPr>
        <w:pStyle w:val="Heading2"/>
      </w:pPr>
      <w:r>
        <w:t>Discussion</w:t>
      </w:r>
    </w:p>
    <w:p>
      <w:r>
        <w:t>This session was about the transition, not the design. The model is settled: transactional finance and procurement consolidate in the first wave, the transactional part of human resources moves a step behind, and the smallest unit stays out until the second year. What remained was to agree the sequence and the terms on which we recommend it.</w:t>
      </w:r>
    </w:p>
    <w:p>
      <w:r>
        <w:t>Daniel Cisneros presented the business case. The one-time cost to stand the shared organization up and the annual saving once it runs are both firm now, and every figure traces to a workpaper. He noted that the saving holds even on the conservative volume assumption, which matters, because the case should not lean on a strong year to look good.</w:t>
      </w:r>
    </w:p>
    <w:p>
      <w:r>
        <w:t>Two figures in the case are worth recording. The one-time cost is weighted toward the first wave, because the finance and procurement move carries the systems and relocation work while the later HR step is lighter. And the payback, on the conservative assumption, still falls inside the second year, which is the test Steven Lowe set at the outset for whether the move earns the disruption it causes.</w:t>
      </w:r>
    </w:p>
    <w:p>
      <w:r>
        <w:t>My recommendation is the staged plan we have costed: finance and procurement first, over the back half of the year; the transactional HR work a quarter behind them; the smallest unit deferred. I would not compress it further. The saving is real, but the risk in this kind of move sits in the cutover, and a first wave that moves at a deliberate pace is what protects the service levels the units are worried about.</w:t>
      </w:r>
    </w:p>
    <w:p>
      <w:r>
        <w:t>On the transition itself, Daniel Cisneros and I walked the cutover for the first wave. The controls that matter are the ones that keep the month-end close intact while the finance work moves, and the plan holds the old and new teams in parallel for one full close before the handover completes. It costs a few weeks of double running, and it is the cost I am least willing to cut, because a missed close is the one failure the units would not forgive.</w:t>
      </w:r>
    </w:p>
    <w:p>
      <w:r>
        <w:t>Steven Lowe pressed on two points before he takes this to his leadership. First, he wants the chargeback model shown as it would appear on a unit's own budget, so each unit head sees exactly what changes for them. Second, he wants the service levels in the catalogue stated as commitments the shared organization is held to, not as aspirations. Both are fair, and both belong in the final pack. We agreed the final recommendation to Key Group leadership will carry the staged plan, the business case, and the governance terms as a single document.</w:t>
      </w:r>
    </w:p>
    <w:p>
      <w:pPr>
        <w:pStyle w:val="Heading2"/>
      </w:pPr>
      <w:r>
        <w:t>Owners and next actions</w:t>
      </w:r>
    </w:p>
    <w:p>
      <w:pPr>
        <w:pStyle w:val="ListBullet"/>
      </w:pPr>
      <w:r>
        <w:t>Daniel Cisneros: restate the chargeback model at the unit level and confirm every figure ties to a workpaper. Before the final review.</w:t>
      </w:r>
    </w:p>
    <w:p>
      <w:pPr>
        <w:pStyle w:val="ListBullet"/>
      </w:pPr>
      <w:r>
        <w:t>Jason Torres: finalize the staged transition plan and the service-level commitments in the catalogue. Before the final review.</w:t>
      </w:r>
    </w:p>
    <w:p>
      <w:pPr>
        <w:pStyle w:val="ListBullet"/>
      </w:pPr>
      <w:r>
        <w:t>Jason Torres: assemble the final recommendation as one pack, with the plan, the case, and the governance terms together. Before the final review.</w:t>
      </w:r>
    </w:p>
    <w:p>
      <w:pPr>
        <w:pStyle w:val="ListBullet"/>
      </w:pPr>
      <w:r>
        <w:t>Steven Lowe: schedule the leadership review and confirm who from each unit should see the chargeback detail. Within two weeks.</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Shared Services Design for Key Group</dc:title>
  <dc:subject/>
  <dc:creator>Jason Torres</dc:creator>
  <cp:keywords/>
  <dc:description>generated by python-docx</dc:description>
  <cp:lastModifiedBy>Jason Torres</cp:lastModifiedBy>
  <cp:revision>1</cp:revision>
  <dcterms:created xsi:type="dcterms:W3CDTF">2018-08-10T09:00:00Z</dcterms:created>
  <dcterms:modified xsi:type="dcterms:W3CDTF">2018-08-10T09:00:00Z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