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Brenda Rodriguez, Daniel Leach</w:t>
      </w:r>
    </w:p>
    <w:p>
      <w:r>
        <w:t>From: Matthew Parrish</w:t>
      </w:r>
    </w:p>
    <w:p>
      <w:r>
        <w:t>Re: Pacheco-Casey procurement transformation, kickoff and the opening weeks</w:t>
      </w:r>
    </w:p>
    <w:p>
      <w:r>
        <w:t>The letter is signed and we begin on March 1, 2014. The objective is plain, and worth stating in one line so we all hold the same one: find where Pacheco-Casey pays more than it should for what it buys, and leave behind a buying process that keeps the saving after we are gone. Roughly eight months, one final report, built on the client's own purchasing and accounts-payable data. Our contact is David Carter, the Director of Operations, and every request to the client goes through him rather than around him. The three of us carry the work between us, and the split is worth setting down now so nobody waits on the wrong person: I own the data, Brenda Rodriguez owns the analysis, and Daniel Leach owns the supplier and contract picture the analysis stands on.</w:t>
      </w:r>
    </w:p>
    <w:p>
      <w:r>
        <w:t>A word on scope, since it gets tested once we are on site. We recommend on suppliers, terms, and buying practice; we do not negotiate with vendors, we do not place orders, and we do not select or install purchasing systems. If any of that is asked for in a plant, the answer is that we will scope it, not that we have started it.</w:t>
      </w:r>
    </w:p>
    <w:p>
      <w:pPr>
        <w:pStyle w:val="Heading2"/>
      </w:pPr>
      <w:r>
        <w:t>Lines of Work</w:t>
      </w:r>
    </w:p>
    <w:p>
      <w:pPr>
        <w:pStyle w:val="ListBullet"/>
      </w:pPr>
      <w:r>
        <w:t>Spend baseline. I pull the purchasing and accounts-payable records and reconcile them to the general ledger, so every category total ties back to a number the client's finance group already recognizes. Where a figure will not reconcile, that gap is itself a finding and gets flagged in the first pass, not buried later.</w:t>
      </w:r>
    </w:p>
    <w:p>
      <w:pPr>
        <w:pStyle w:val="ListBullet"/>
      </w:pPr>
      <w:r>
        <w:t>Category analysis. Brenda Rodriguez leads the cut of spend by category and by supplier and sets the order of the deep dives. Nothing is called an opportunity until the number behind it holds.</w:t>
      </w:r>
    </w:p>
    <w:p>
      <w:pPr>
        <w:pStyle w:val="ListBullet"/>
      </w:pPr>
      <w:r>
        <w:t>Supplier and contract view. Daniel Leach assembles the supplier list and the existing agreements, so we can see how many suppliers carry each category and how much of the spend runs off contract.</w:t>
      </w:r>
    </w:p>
    <w:p>
      <w:pPr>
        <w:pStyle w:val="ListBullet"/>
      </w:pPr>
      <w:r>
        <w:t>Buying process. We document how purchasing actually happens today, site by site, from the records and the interviews, and not from the policy as someone recites it from memory. This is the part the client most often thinks it already knows, and usually the part the records contradict, so we build it from the ground up.</w:t>
      </w:r>
    </w:p>
    <w:p>
      <w:pPr>
        <w:pStyle w:val="ListBullet"/>
      </w:pPr>
      <w:r>
        <w:t>Client cadence. A short written status goes to David Carter on a regular interval, and it goes out even in a quiet week so the client is never left guessing where the work stands.</w:t>
      </w:r>
    </w:p>
    <w:p>
      <w:pPr>
        <w:pStyle w:val="Heading2"/>
      </w:pPr>
      <w:r>
        <w:t>The Opening Weeks</w:t>
      </w:r>
    </w:p>
    <w:p>
      <w:pPr>
        <w:pStyle w:val="ListBullet"/>
      </w:pPr>
      <w:r>
        <w:t>I draft the data request, itemized, with each field and its definition attached, and send it to David Carter by the end of the week.</w:t>
      </w:r>
    </w:p>
    <w:p>
      <w:pPr>
        <w:pStyle w:val="ListBullet"/>
      </w:pPr>
      <w:r>
        <w:t>Daniel Leach begins the supplier and contract inventory from the material the client has already provided.</w:t>
      </w:r>
    </w:p>
    <w:p>
      <w:pPr>
        <w:pStyle w:val="ListBullet"/>
      </w:pPr>
      <w:r>
        <w:t>Brenda Rodriguez sets the category tree first, so the spend cut and the interview questions line up from the start rather than being reconciled later.</w:t>
      </w:r>
    </w:p>
    <w:p>
      <w:pPr>
        <w:pStyle w:val="ListBullet"/>
      </w:pPr>
      <w:r>
        <w:t>We agree the interview list, purchasing staff and plant managers both, before we ask the client for a single calendar slot.</w:t>
      </w:r>
    </w:p>
    <w:p>
      <w:pPr>
        <w:pStyle w:val="ListBullet"/>
      </w:pPr>
      <w:r>
        <w:t>I set up the working file and the folder structure now, so the data lands somewhere consistent and we are not renaming and re-sorting things three weeks in.</w:t>
      </w:r>
    </w:p>
    <w:p>
      <w:r>
        <w:t>Two items have to be settled this week: the data request out to David Carter, and the category tree agreed among the three of us. With both in place the on-site interviews start clean, and we are not renegotiating the shape of the data once the analysis at Pacheco-Casey is already under way.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Procurement Transformation for Pacheco-Casey</dc:title>
  <dc:subject/>
  <dc:creator>Matthew Parrish</dc:creator>
  <cp:keywords/>
  <dc:description>generated by python-docx</dc:description>
  <cp:lastModifiedBy>Matthew Parrish</cp:lastModifiedBy>
  <cp:revision>1</cp:revision>
  <dcterms:created xsi:type="dcterms:W3CDTF">2014-03-04T09:00:00Z</dcterms:created>
  <dcterms:modified xsi:type="dcterms:W3CDTF">2014-03-04T09:00:00Z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