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Transformation: Status Report</w:t>
      </w:r>
    </w:p>
    <w:p>
      <w:r>
        <w:t>Prepared for the Office of the Director of Operations, Pacheco-Casey, by Matthew Parrish on behalf of the engagement team. This report covers the work of the past period and the standing of the engagement at about its midpoint.</w:t>
      </w:r>
    </w:p>
    <w:p>
      <w:pPr>
        <w:pStyle w:val="Heading2"/>
      </w:pPr>
      <w:r>
        <w:t>Where the Engagement Stands</w:t>
      </w:r>
    </w:p>
    <w:p>
      <w:r>
        <w:t>The engagement is at roughly its midpoint and on plan. The first half was the diagnostic: building a complete, reconciled picture of what Pacheco-Casey buys and how it is bought. That picture is now in hand, and it is solid enough to build recommendations on. The second half turns from diagnosis to recommendation, working the largest categories into specific, costed changes and setting out the buying process that keeps the saving in place after the work ends. Nothing to date has moved us off the plan set at kickoff, and the shape of the opportunity is close to what we described when the letter was signed.</w:t>
      </w:r>
    </w:p>
    <w:p>
      <w:pPr>
        <w:pStyle w:val="Heading2"/>
      </w:pPr>
      <w:r>
        <w:t>Completed This Period</w:t>
      </w:r>
    </w:p>
    <w:p>
      <w:pPr>
        <w:pStyle w:val="ListBullet"/>
      </w:pPr>
      <w:r>
        <w:t>The spend baseline is complete and reconciled to the general ledger, including the plant-level detail for all sites, which was the largest single piece of work in the first half.</w:t>
      </w:r>
    </w:p>
    <w:p>
      <w:pPr>
        <w:pStyle w:val="ListBullet"/>
      </w:pPr>
      <w:r>
        <w:t>Spend has been cut by category and by supplier, and the categories carrying the most opportunity have been identified and ranked.</w:t>
      </w:r>
    </w:p>
    <w:p>
      <w:pPr>
        <w:pStyle w:val="ListBullet"/>
      </w:pPr>
      <w:r>
        <w:t>The pattern of off-contract and locally placed purchasing has been mapped, using the purchasing-card records received during the period.</w:t>
      </w:r>
    </w:p>
    <w:p>
      <w:pPr>
        <w:pStyle w:val="ListBullet"/>
      </w:pPr>
      <w:r>
        <w:t>The way purchasing is done today, site by site, has been documented from the records and the interviews rather than from the written policy.</w:t>
      </w:r>
    </w:p>
    <w:p>
      <w:pPr>
        <w:pStyle w:val="ListBullet"/>
      </w:pPr>
      <w:r>
        <w:t>Interviews with the category owners and the plant purchasing leads are under way; roughly two thirds are complete.</w:t>
      </w:r>
    </w:p>
    <w:p>
      <w:pPr>
        <w:pStyle w:val="Heading2"/>
      </w:pPr>
      <w:r>
        <w:t>What the Diagnostic Points To</w:t>
      </w:r>
    </w:p>
    <w:p>
      <w:r>
        <w:t>The diagnostic points to three sources of avoidable cost, each of which is still being sized rather than reported as final. The company buys its largest categories from more suppliers than the volume needs, which spreads the spend thin and leaves negotiating leverage on the table. The same items are bought at different prices and on different terms from one site to the next, without a reason the records account for. And a fair share of purchasing runs off contract, in small orders placed locally, outside the agreements the company already holds. None of this is unusual where buying has grown up site by site rather than centrally. What is new is that the size of each is now measurable instead of assumed, and that measurement is what the second half of the work builds the recommendations on.</w:t>
      </w:r>
    </w:p>
    <w:p>
      <w:pPr>
        <w:pStyle w:val="Heading2"/>
      </w:pPr>
      <w:r>
        <w:t>The Engagement Against Budget</w:t>
      </w:r>
    </w:p>
    <w:p>
      <w:r>
        <w:t>The engagement is priced as a fixed fee of $110,500 for the scope agreed at the outset. Fees and expenses to date track the plan: at about the halfway point of the schedule, a little under half of the fee has been billed, and the work is within budget. No change to scope or fee is contemplated.</w:t>
      </w:r>
    </w:p>
    <w:p>
      <w:pPr>
        <w:pStyle w:val="Heading2"/>
      </w:pPr>
      <w:r>
        <w:t>Upcoming Work</w:t>
      </w:r>
    </w:p>
    <w:p>
      <w:pPr>
        <w:pStyle w:val="ListBullet"/>
      </w:pPr>
      <w:r>
        <w:t>Finish the category deep dives on maintenance and repair supplies and on inbound freight, and size each opportunity as a range, which we will narrow as the supplier work confirms it.</w:t>
      </w:r>
    </w:p>
    <w:p>
      <w:pPr>
        <w:pStyle w:val="ListBullet"/>
      </w:pPr>
      <w:r>
        <w:t>Complete the remaining category-owner and plant interviews so no recommendation rests on a category we have not walked through with the people who buy it.</w:t>
      </w:r>
    </w:p>
    <w:p>
      <w:pPr>
        <w:pStyle w:val="ListBullet"/>
      </w:pPr>
      <w:r>
        <w:t>Open the supplier discussions on the priority categories, within the boundary set in the engagement letter: we frame and support, the client negotiates and decides.</w:t>
      </w:r>
    </w:p>
    <w:p>
      <w:pPr>
        <w:pStyle w:val="ListBullet"/>
      </w:pPr>
      <w:r>
        <w:t>Draft the target procurement operating model, including how a purchase is approved, where buying authority sits, and when a category comes back for review.</w:t>
      </w:r>
    </w:p>
    <w:p>
      <w:pPr>
        <w:pStyle w:val="ListBullet"/>
      </w:pPr>
      <w:r>
        <w:t>Begin sequencing the changes into an implementation roadmap, weighted so the client's purchasing team is not asked to carry every change at once.</w:t>
      </w:r>
    </w:p>
    <w:p>
      <w:pPr>
        <w:pStyle w:val="Heading2"/>
      </w:pPr>
      <w:r>
        <w:t>Risks and Watch Items</w:t>
      </w:r>
    </w:p>
    <w:p>
      <w:pPr>
        <w:pStyle w:val="ListBullet"/>
      </w:pPr>
      <w:r>
        <w:t>A share of spend remains in miscellaneous ledger codes; Matthew Parrish is reconciling it, and until it is placed the category totals carry a small margin of error, which the report will state plainly.</w:t>
      </w:r>
    </w:p>
    <w:p>
      <w:pPr>
        <w:pStyle w:val="ListBullet"/>
      </w:pPr>
      <w:r>
        <w:t>Interview scheduling has slipped in places over the summer; Brenda Rodriguez is holding the priority sessions and the rest will follow.</w:t>
      </w:r>
    </w:p>
    <w:p>
      <w:pPr>
        <w:pStyle w:val="ListBullet"/>
      </w:pPr>
      <w:r>
        <w:t>The savings figures are preliminary and will move as the supplier work firms them up. Daniel Leach is closing the last of the supporting data, and the report will present each opportunity as a range the analysis can support, not a single number we expect to revise.</w:t>
      </w:r>
    </w:p>
    <w:p>
      <w:r>
        <w:t>The next report will carry the sized opportunities by category and the first draft of the implementation roadmap. Questions on the numbers can come to Matthew Parrish directly, and questions on the analysis and the recommendations to Brenda Rodriguez. The team is grateful for the ready access the operations group at Pacheco-Casey has given us to its records and its people, which is a large part of why the diagnostic closed on time.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Procurement Transformation for Pacheco-Casey</dc:title>
  <dc:subject/>
  <dc:creator>Matthew Parrish</dc:creator>
  <cp:keywords/>
  <dc:description>generated by python-docx</dc:description>
  <cp:lastModifiedBy>Matthew Parrish</cp:lastModifiedBy>
  <cp:revision>1</cp:revision>
  <dcterms:created xsi:type="dcterms:W3CDTF">2014-07-03T09:00:00Z</dcterms:created>
  <dcterms:modified xsi:type="dcterms:W3CDTF">2014-07-03T09:00:00Z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