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Procurement Transformation for Pacheco-Casey: Status Report</w:t>
      </w:r>
    </w:p>
    <w:p>
      <w:r>
        <w:t>Prepared by Matthew Parrish, Research Associate, Advisory. This note sets out the state of the procurement transformation for the Pacheco-Casey leadership team as the engagement moves into its closing weeks. It covers where the work now stands, what was completed this period, what remains before we hand the program over, and the open items that still need the client's attention. The picture is straightforward: the analytical work is essentially done, the sourcing has delivered, and what is left is finishing the report, closing two categories, and transferring ownership to the client's own team.</w:t>
      </w:r>
    </w:p>
    <w:p>
      <w:pPr>
        <w:pStyle w:val="Heading2"/>
      </w:pPr>
      <w:r>
        <w:t>Where the engagement stands</w:t>
      </w:r>
    </w:p>
    <w:p>
      <w:r>
        <w:t>The core work of the engagement is complete. Spend across the categories in scope has been mapped, cleaned, and agreed as a baseline; category strategies are set; and the sourcing waves that carried the bulk of the addressable spend have run. What remains is narrow and well understood, and none of it changes the direction of the recommendations. Fees invoiced against the fixed engagement fee of $110,500 remain in line with the plan, with the balance reserved for the recommendations report and the implementation-planning sessions still on the calendar. There is no expectation of a change to scope or fee before close.</w:t>
      </w:r>
    </w:p>
    <w:p>
      <w:pPr>
        <w:pStyle w:val="Heading2"/>
      </w:pPr>
      <w:r>
        <w:t>Completed this period</w:t>
      </w:r>
    </w:p>
    <w:p>
      <w:r>
        <w:t>The following closed since the previous report:</w:t>
      </w:r>
    </w:p>
    <w:p>
      <w:pPr>
        <w:pStyle w:val="ListBullet"/>
      </w:pPr>
      <w:r>
        <w:t>Baseline sign-off. Brenda Rodriguez reconciled the last two source systems against the general ledger, and the consolidated spend baseline is now the agreed reference for every savings claim in the program. No later analysis reopens it.</w:t>
      </w:r>
    </w:p>
    <w:p>
      <w:pPr>
        <w:pStyle w:val="ListBullet"/>
      </w:pPr>
      <w:r>
        <w:t>Sourcing complete for indirect and MRO, professional services, and packaging. Contracts are signed and effective, and the transition schedules are in the hands of the internal owners who will run them.</w:t>
      </w:r>
    </w:p>
    <w:p>
      <w:pPr>
        <w:pStyle w:val="ListBullet"/>
      </w:pPr>
      <w:r>
        <w:t>Category playbooks delivered for each area in scope. Each documents the sourcing approach, the awarded suppliers, and the terms the client will have to hold to for the savings to be real rather than nominal.</w:t>
      </w:r>
    </w:p>
    <w:p>
      <w:pPr>
        <w:pStyle w:val="ListBullet"/>
      </w:pPr>
      <w:r>
        <w:t>First full draft of the implementation roadmap, sequencing the remaining supplier transitions against the policy and process changes that have to move with them.</w:t>
      </w:r>
    </w:p>
    <w:p>
      <w:pPr>
        <w:pStyle w:val="ListBullet"/>
      </w:pPr>
      <w:r>
        <w:t>Working sessions held with the category owners on each completed area, so that the people who will live with the new contracts have seen the reasoning behind them and not only the outcome.</w:t>
      </w:r>
    </w:p>
    <w:p>
      <w:pPr>
        <w:pStyle w:val="Heading2"/>
      </w:pPr>
      <w:r>
        <w:t>Category status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Status</w:t>
            </w:r>
          </w:p>
        </w:tc>
        <w:tc>
          <w:tcPr>
            <w:tcW w:type="dxa" w:w="2880"/>
          </w:tcPr>
          <w:p>
            <w:r>
              <w:rPr>
                <w:b/>
              </w:rPr>
              <w:t>Notes</w:t>
            </w:r>
          </w:p>
        </w:tc>
      </w:tr>
      <w:tr>
        <w:tc>
          <w:tcPr>
            <w:tcW w:type="dxa" w:w="2880"/>
          </w:tcPr>
          <w:p>
            <w:r>
              <w:t>Indirect and MRO</w:t>
            </w:r>
          </w:p>
        </w:tc>
        <w:tc>
          <w:tcPr>
            <w:tcW w:type="dxa" w:w="2880"/>
          </w:tcPr>
          <w:p>
            <w:r>
              <w:t>Complete</w:t>
            </w:r>
          </w:p>
        </w:tc>
        <w:tc>
          <w:tcPr>
            <w:tcW w:type="dxa" w:w="2880"/>
          </w:tcPr>
          <w:p>
            <w:r>
              <w:t>Contracts signed; transition underway</w:t>
            </w:r>
          </w:p>
        </w:tc>
      </w:tr>
      <w:tr>
        <w:tc>
          <w:tcPr>
            <w:tcW w:type="dxa" w:w="2880"/>
          </w:tcPr>
          <w:p>
            <w:r>
              <w:t>Professional services</w:t>
            </w:r>
          </w:p>
        </w:tc>
        <w:tc>
          <w:tcPr>
            <w:tcW w:type="dxa" w:w="2880"/>
          </w:tcPr>
          <w:p>
            <w:r>
              <w:t>Complete</w:t>
            </w:r>
          </w:p>
        </w:tc>
        <w:tc>
          <w:tcPr>
            <w:tcW w:type="dxa" w:w="2880"/>
          </w:tcPr>
          <w:p>
            <w:r>
              <w:t>Consolidated to a shorter panel</w:t>
            </w:r>
          </w:p>
        </w:tc>
      </w:tr>
      <w:tr>
        <w:tc>
          <w:tcPr>
            <w:tcW w:type="dxa" w:w="2880"/>
          </w:tcPr>
          <w:p>
            <w:r>
              <w:t>Packaging</w:t>
            </w:r>
          </w:p>
        </w:tc>
        <w:tc>
          <w:tcPr>
            <w:tcW w:type="dxa" w:w="2880"/>
          </w:tcPr>
          <w:p>
            <w:r>
              <w:t>Complete</w:t>
            </w:r>
          </w:p>
        </w:tc>
        <w:tc>
          <w:tcPr>
            <w:tcW w:type="dxa" w:w="2880"/>
          </w:tcPr>
          <w:p>
            <w:r>
              <w:t>Awarded; ramp scheduled with the sites</w:t>
            </w:r>
          </w:p>
        </w:tc>
      </w:tr>
      <w:tr>
        <w:tc>
          <w:tcPr>
            <w:tcW w:type="dxa" w:w="2880"/>
          </w:tcPr>
          <w:p>
            <w:r>
              <w:t>Logistics and freight</w:t>
            </w:r>
          </w:p>
        </w:tc>
        <w:tc>
          <w:tcPr>
            <w:tcW w:type="dxa" w:w="2880"/>
          </w:tcPr>
          <w:p>
            <w:r>
              <w:t>In negotiation</w:t>
            </w:r>
          </w:p>
        </w:tc>
        <w:tc>
          <w:tcPr>
            <w:tcW w:type="dxa" w:w="2880"/>
          </w:tcPr>
          <w:p>
            <w:r>
              <w:t>Two carriers outstanding; expected to close before the final report</w:t>
            </w:r>
          </w:p>
        </w:tc>
      </w:tr>
      <w:tr>
        <w:tc>
          <w:tcPr>
            <w:tcW w:type="dxa" w:w="2880"/>
          </w:tcPr>
          <w:p>
            <w:r>
              <w:t>IT and telecom</w:t>
            </w:r>
          </w:p>
        </w:tc>
        <w:tc>
          <w:tcPr>
            <w:tcW w:type="dxa" w:w="2880"/>
          </w:tcPr>
          <w:p>
            <w:r>
              <w:t>Out of scope</w:t>
            </w:r>
          </w:p>
        </w:tc>
        <w:tc>
          <w:tcPr>
            <w:tcW w:type="dxa" w:w="2880"/>
          </w:tcPr>
          <w:p>
            <w:r>
              <w:t>Held for a later phase; not in this engagement</w:t>
            </w:r>
          </w:p>
        </w:tc>
      </w:tr>
    </w:tbl>
    <w:p>
      <w:pPr>
        <w:pStyle w:val="Heading2"/>
      </w:pPr>
      <w:r>
        <w:t>Operating model and process</w:t>
      </w:r>
    </w:p>
    <w:p>
      <w:r>
        <w:t>Alongside the sourcing, the engagement set out to leave the client with a procurement function that could hold the savings without us. That work is largely delivered. A revised approval policy, a standard sourcing process for spend above the agreed thresholds, and a simple category-ownership map have all been drafted and reviewed with the procurement lead. The intent throughout has been to match the process to the size of the function and not import something heavier than the team can run. The one piece still open is the savings tracker: the structure is built and populated from the baseline, but it will not become the client's own record until the handoff sessions, which are scheduled alongside the final report.</w:t>
      </w:r>
    </w:p>
    <w:p>
      <w:pPr>
        <w:pStyle w:val="Heading2"/>
      </w:pPr>
      <w:r>
        <w:t>Remaining before close</w:t>
      </w:r>
    </w:p>
    <w:p>
      <w:r>
        <w:t>Three things stand between here and completion. The recommendations report is in drafting and will go to the client executive with a full read of the savings secured, the operating-model changes, and the governance needed to keep the gains. The two open categories, logistics and freight, are in final negotiation and are expected to close within the remaining sessions. And the savings tracker and category playbooks will be handed to the client's procurement team, so that ownership of the program sits inside Pacheco-Casey and not with us once the engagement ends.</w:t>
      </w:r>
    </w:p>
    <w:p>
      <w:pPr>
        <w:pStyle w:val="Heading2"/>
      </w:pPr>
      <w:r>
        <w:t>Open items and risks</w:t>
      </w:r>
    </w:p>
    <w:p>
      <w:r>
        <w:t>The freight spend at two of the client's sites is not yet fully reconciled. Daniel Leach has the data request outstanding with those sites, and until the source files arrive that spend is carried as unverified and flagged as such in the model. It does not change the direction of the recommendation, but a portion of the freight baseline stays provisional until the data lands, and it is noted here so that no one takes the freight figures as final before then.</w:t>
      </w:r>
    </w:p>
    <w:p>
      <w:r>
        <w:t>The larger risk is realization. A signed contract saves nothing until it is the one actually used, and spend drifting back to the prior suppliers is the ordinary way a program like this loses value after the advisors leave. The governance section of the final report addresses this directly, but the compliance and the tracking have to be owned inside the client's team for it to hold. Assigning that ownership before the engagement closes is the most useful single step the leadership can take in the time remaining.</w:t>
      </w:r>
    </w:p>
    <w:p>
      <w:pPr>
        <w:pStyle w:val="Heading2"/>
      </w:pPr>
      <w:r>
        <w:t>Before the final report</w:t>
      </w:r>
    </w:p>
    <w:p>
      <w:r>
        <w:t>The next status note will accompany the recommendations report and will be the last of the engagement. Until then, the outstanding freight data and the two open negotiations are the threads to watch, and both are being tracked to the same close. Questions on anything in this note can come to me directly, or to Brenda Rodriguez on anything touching the savings baseline.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Procurement Transformation for Pacheco-Casey</dc:title>
  <dc:subject/>
  <dc:creator>Matthew Parrish</dc:creator>
  <cp:keywords/>
  <dc:description>generated by python-docx</dc:description>
  <cp:lastModifiedBy>Matthew Parrish</cp:lastModifiedBy>
  <cp:revision>1</cp:revision>
  <dcterms:created xsi:type="dcterms:W3CDTF">2014-10-31T09:00:00Z</dcterms:created>
  <dcterms:modified xsi:type="dcterms:W3CDTF">2014-10-31T09:00:00Z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