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Spend Baseline and the First Category Findings</w:t>
      </w:r>
    </w:p>
    <w:p>
      <w:r>
        <w:t>Minutes taken by Brenda Rodriguez. Subject: the Pacheco-Casey procurement engagement, working session held with the client at Pacheco-Casey.</w:t>
      </w:r>
    </w:p>
    <w:p>
      <w:pPr>
        <w:pStyle w:val="Heading2"/>
      </w:pPr>
      <w:r>
        <w:t>Present</w:t>
      </w:r>
    </w:p>
    <w:p>
      <w:pPr>
        <w:pStyle w:val="ListBullet"/>
      </w:pPr>
      <w:r>
        <w:t>Brenda Rodriguez, Senior Consultant</w:t>
      </w:r>
    </w:p>
    <w:p>
      <w:pPr>
        <w:pStyle w:val="ListBullet"/>
      </w:pPr>
      <w:r>
        <w:t>Matthew Parrish, Research Associate</w:t>
      </w:r>
    </w:p>
    <w:p>
      <w:pPr>
        <w:pStyle w:val="ListBullet"/>
      </w:pPr>
      <w:r>
        <w:t>Daniel Leach, Research Associate</w:t>
      </w:r>
    </w:p>
    <w:p>
      <w:pPr>
        <w:pStyle w:val="ListBullet"/>
      </w:pPr>
      <w:r>
        <w:t>David Carter, Director of Operations, Pacheco-Casey</w:t>
      </w:r>
    </w:p>
    <w:p>
      <w:pPr>
        <w:pStyle w:val="Heading2"/>
      </w:pPr>
      <w:r>
        <w:t>The Baseline</w:t>
      </w:r>
    </w:p>
    <w:p>
      <w:r>
        <w:t>Matthew Parrish opened with the state of the spend baseline, which is now complete. The purchasing and accounts-payable data reconcile to the general ledger at the category level, and the plant-level detail for the two southern sites, which was missing at the start, has since come in and been folded in. He noted that a small share of spend still sits in miscellaneous ledger codes that no single category cleanly claims, and that he has left it visible as unclassified rather than force it into a category to make the picture look tidier than it is. David Carter recognized two of those codes and gave us the context to place them.</w:t>
      </w:r>
    </w:p>
    <w:p>
      <w:pPr>
        <w:pStyle w:val="Heading2"/>
      </w:pPr>
      <w:r>
        <w:t>First Category Findings</w:t>
      </w:r>
    </w:p>
    <w:p>
      <w:r>
        <w:t>I then took the group through what the baseline is beginning to show, and there are three patterns worth recording. The company buys several large categories, among them maintenance and repair supplies and inbound freight, from far more suppliers than the volume warrants, which fragments the spend and gives away the leverage a consolidated buy would carry. Prices and terms for the same items differ from one site to the next without a reason the records explain. And a meaningful share of purchasing happens off contract, in small orders placed locally, outside whatever agreements are already in place. I was clear that these are the current read of the data and not yet findings; each needs the supplier interviews and a firm number behind it before we put it to the client as something to act on.</w:t>
      </w:r>
    </w:p>
    <w:p>
      <w:r>
        <w:t>David Carter pushed on the supplier point, and the exchange was worth keeping. He agreed the count is high but cautioned that a handful of the smaller suppliers are single-source for parts the plants cannot run without, and that consolidation cannot touch those until a qualified alternative is in place. Matthew Parrish said the same names had already surfaced in the data as exceptions, and we agreed to carry them as a separate flagged list so the recommendation does not read as a blanket cut. Daniel Leach will tag those suppliers in the working file so the exception travels with the analysis and is not lost between now and the final report.</w:t>
      </w:r>
    </w:p>
    <w:p>
      <w:pPr>
        <w:pStyle w:val="Heading2"/>
      </w:pPr>
      <w:r>
        <w:t>Open Items and Next Steps</w:t>
      </w:r>
    </w:p>
    <w:p>
      <w:r>
        <w:t>We agreed what has to happen before the next session. The category deep dives on the two largest areas need to be finished so the opportunity can be sized rather than described. The off-contract spend needs to be quantified, which depends on the purchasing-card records still to come. And David Carter asked that we not put figures in front of the category owners until they are firm, so the coming interviews stay diagnostic and do not turn into negotiations. We agreed, and I will hold the team to it.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Finish the category deep dives on the two largest spend areas and size the opportunity</w:t>
            </w:r>
          </w:p>
        </w:tc>
        <w:tc>
          <w:tcPr>
            <w:tcW w:type="dxa" w:w="2880"/>
          </w:tcPr>
          <w:p>
            <w:r>
              <w:t>Brenda Rodriguez</w:t>
            </w:r>
          </w:p>
        </w:tc>
        <w:tc>
          <w:tcPr>
            <w:tcW w:type="dxa" w:w="2880"/>
          </w:tcPr>
          <w:p>
            <w:r>
              <w:t>Before the next working session</w:t>
            </w:r>
          </w:p>
        </w:tc>
      </w:tr>
      <w:tr>
        <w:tc>
          <w:tcPr>
            <w:tcW w:type="dxa" w:w="2880"/>
          </w:tcPr>
          <w:p>
            <w:r>
              <w:t>Reconcile the remaining unclassified spend and close the baseline</w:t>
            </w:r>
          </w:p>
        </w:tc>
        <w:tc>
          <w:tcPr>
            <w:tcW w:type="dxa" w:w="2880"/>
          </w:tcPr>
          <w:p>
            <w:r>
              <w:t>Matthew Parrish</w:t>
            </w:r>
          </w:p>
        </w:tc>
        <w:tc>
          <w:tcPr>
            <w:tcW w:type="dxa" w:w="2880"/>
          </w:tcPr>
          <w:p>
            <w:r>
              <w:t>Within two weeks</w:t>
            </w:r>
          </w:p>
        </w:tc>
      </w:tr>
      <w:tr>
        <w:tc>
          <w:tcPr>
            <w:tcW w:type="dxa" w:w="2880"/>
          </w:tcPr>
          <w:p>
            <w:r>
              <w:t>Assemble the supplier and contract detail for the priority categories</w:t>
            </w:r>
          </w:p>
        </w:tc>
        <w:tc>
          <w:tcPr>
            <w:tcW w:type="dxa" w:w="2880"/>
          </w:tcPr>
          <w:p>
            <w:r>
              <w:t>Daniel Leach</w:t>
            </w:r>
          </w:p>
        </w:tc>
        <w:tc>
          <w:tcPr>
            <w:tcW w:type="dxa" w:w="2880"/>
          </w:tcPr>
          <w:p>
            <w:r>
              <w:t>Before the supplier interviews</w:t>
            </w:r>
          </w:p>
        </w:tc>
      </w:tr>
      <w:tr>
        <w:tc>
          <w:tcPr>
            <w:tcW w:type="dxa" w:w="2880"/>
          </w:tcPr>
          <w:p>
            <w:r>
              <w:t>Confirm access to the purchasing-card records and the category owners' time</w:t>
            </w:r>
          </w:p>
        </w:tc>
        <w:tc>
          <w:tcPr>
            <w:tcW w:type="dxa" w:w="2880"/>
          </w:tcPr>
          <w:p>
            <w:r>
              <w:t>David Carter</w:t>
            </w:r>
          </w:p>
        </w:tc>
        <w:tc>
          <w:tcPr>
            <w:tcW w:type="dxa" w:w="2880"/>
          </w:tcPr>
          <w:p>
            <w:r>
              <w:t>As soon as practical</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Procurement Transformation for Pacheco-Casey</dc:title>
  <dc:subject/>
  <dc:creator>Brenda Rodriguez</dc:creator>
  <cp:keywords/>
  <dc:description>generated by python-docx</dc:description>
  <cp:lastModifiedBy>Brenda Rodriguez</cp:lastModifiedBy>
  <cp:revision>1</cp:revision>
  <dcterms:created xsi:type="dcterms:W3CDTF">2014-06-09T09:00:00Z</dcterms:created>
  <dcterms:modified xsi:type="dcterms:W3CDTF">2014-06-09T09:00:00Z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