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Daniel Leach, Michael Walker</w:t>
      </w:r>
    </w:p>
    <w:p>
      <w:r>
        <w:t>From: Deborah Gordon</w:t>
      </w:r>
    </w:p>
    <w:p>
      <w:r>
        <w:t>Re: Poole, Mcknight and Rush supply chain review, kickoff and the first two weeks</w:t>
      </w:r>
    </w:p>
    <w:p>
      <w:r>
        <w:t>The letter is signed and we start the supply chain review for Poole, Mcknight and Rush on May 18, 2010. The job is narrow, and worth stating in one line: find where the supply chain costs the client more than it should, and show what it takes to bring that cost down without hurting service. Four months, one report, built entirely on the client's own purchasing, inventory, and freight data. Our contact is Sandra Flores, the Chief Operating Officer, and she is the single door to the client. Anything that goes to the client goes through Sandra Flores, and nobody calls a plant or a warehouse manager without her knowing first.</w:t>
      </w:r>
    </w:p>
    <w:p>
      <w:r>
        <w:t>A word on scope, because it gets tested in the corridor. We recommend on suppliers, terms, and stocking policy; we do not negotiate with vendors, we do not place orders, and we do not touch systems selection. If any of that gets asked for on site, the answer is that we will scope it, not that we have started it. Keep the work to the review we were hired to do.</w:t>
      </w:r>
    </w:p>
    <w:p>
      <w:pPr>
        <w:pStyle w:val="Heading2"/>
      </w:pPr>
      <w:r>
        <w:t>Lines of Work</w:t>
      </w:r>
    </w:p>
    <w:p>
      <w:pPr>
        <w:pStyle w:val="ListBullet"/>
      </w:pPr>
      <w:r>
        <w:t>Data and baseline. Daniel Leach pulls the purchasing, inventory, and freight data and builds the picture of how cost and goods actually move today. Where a number will not reconcile, that gap is a finding, and I want it flagged in the first pass, not buried later.</w:t>
      </w:r>
    </w:p>
    <w:p>
      <w:pPr>
        <w:pStyle w:val="ListBullet"/>
      </w:pPr>
      <w:r>
        <w:t>Flow and process. We map the physical flow across the sites: what is bought, where it is held, how it moves, and where it waits. Build this from the records and the walk-throughs, not from the process someone recites from memory.</w:t>
      </w:r>
    </w:p>
    <w:p>
      <w:pPr>
        <w:pStyle w:val="ListBullet"/>
      </w:pPr>
      <w:r>
        <w:t>Cost of buffers. Daniel Leach ties the freight, the safety stock, and the handling back to the flow, so we can say what the current design costs and where it costs it.</w:t>
      </w:r>
    </w:p>
    <w:p>
      <w:pPr>
        <w:pStyle w:val="ListBullet"/>
      </w:pPr>
      <w:r>
        <w:t>Interviews and access. Michael Walker owns the schedule and the site access. If the interview load grows past what we planned, tell Michael Walker before it becomes a problem, not after.</w:t>
      </w:r>
    </w:p>
    <w:p>
      <w:pPr>
        <w:pStyle w:val="ListBullet"/>
      </w:pPr>
      <w:r>
        <w:t>Findings and report. I own the analysis and the writing. Nothing reaches the client as a recommendation until the baseline supports it.</w:t>
      </w:r>
    </w:p>
    <w:p>
      <w:pPr>
        <w:pStyle w:val="ListBullet"/>
      </w:pPr>
      <w:r>
        <w:t>Client cadence. A short written status goes to Sandra Flores every two weeks, routed through Michael Walker, and it goes out even in a thin week so the client is never guessing about where we are.</w:t>
      </w:r>
    </w:p>
    <w:p>
      <w:pPr>
        <w:pStyle w:val="Heading2"/>
      </w:pPr>
      <w:r>
        <w:t>First Two Weeks</w:t>
      </w:r>
    </w:p>
    <w:p>
      <w:pPr>
        <w:pStyle w:val="ListBullet"/>
      </w:pPr>
      <w:r>
        <w:t>Daniel Leach drafts the data request, itemized, with the fields and their definitions attached, and I send it to Sandra Flores by the end of the week.</w:t>
      </w:r>
    </w:p>
    <w:p>
      <w:pPr>
        <w:pStyle w:val="ListBullet"/>
      </w:pPr>
      <w:r>
        <w:t>Michael Walker confirms the first two site visits and holds the interview slots with purchasing, planning, and the warehouses at Poole, Mcknight and Rush.</w:t>
      </w:r>
    </w:p>
    <w:p>
      <w:pPr>
        <w:pStyle w:val="ListBullet"/>
      </w:pPr>
      <w:r>
        <w:t>We agree the site and interview list before we ask the client for a single calendar slot, so we are not renegotiating access once the visits have started.</w:t>
      </w:r>
    </w:p>
    <w:p>
      <w:pPr>
        <w:pStyle w:val="ListBullet"/>
      </w:pPr>
      <w:r>
        <w:t>Nobody quotes a cost or a saving to anyone at the client until the baseline reconciles.</w:t>
      </w:r>
    </w:p>
    <w:p>
      <w:r>
        <w:t>Two things I want settled by Friday: the data request and the site list, both agreed and both out to Sandra Flores. The client has asked for a named contact on each site before we arrive, and Michael Walker is gathering those now. With the request and the list locked this week, the on-site work has a clean start and we are not chasing access once the visits have begun.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Supply Chain Review for Poole, Mcknight and Rush</dc:title>
  <dc:subject/>
  <dc:creator>Deborah Gordon</dc:creator>
  <cp:keywords/>
  <dc:description>generated by python-docx</dc:description>
  <cp:lastModifiedBy>Deborah Gordon</cp:lastModifiedBy>
  <cp:revision>1</cp:revision>
  <dcterms:created xsi:type="dcterms:W3CDTF">2010-05-21T09:00:00Z</dcterms:created>
  <dcterms:modified xsi:type="dcterms:W3CDTF">2010-05-21T09:00:00Z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