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Deborah Jimenez</w:t>
      </w:r>
    </w:p>
    <w:p>
      <w:r>
        <w:t>From: Brenda Clayton</w:t>
      </w:r>
    </w:p>
    <w:p>
      <w:r>
        <w:t>Subject: Kickoff, Capital Allocation Review for Poole, Mcknight and Rush</w:t>
      </w:r>
    </w:p>
    <w:p>
      <w:r>
        <w:t>This engagement begins on February 22, 2019. What we owe Poole, Mcknight and Rush is a clear account of how it allocates capital today and a method it can use to allocate it better, set down in a form the client can run without us standing over it. In concrete terms that is four deliverables: a map of the current capital process, a history of where the capital has gone, an assessment of the criteria the client uses to weigh one request against another, and a recommended way to rank requests and govern the decisions behind them. The engagement letter is signed, so we are working to that scope and not reopening it. I have set this memo out in the order I expect us to work, and each part below names who carries it.</w:t>
      </w:r>
    </w:p>
    <w:p>
      <w:pPr>
        <w:pStyle w:val="Heading2"/>
      </w:pPr>
      <w:r>
        <w:t>The work, in four parts</w:t>
      </w:r>
    </w:p>
    <w:p>
      <w:pPr>
        <w:pStyle w:val="ListBullet"/>
      </w:pPr>
      <w:r>
        <w:t>The current process. I will document how a capital request is raised, how it is evaluated, who signs off, how it is funded, and whether anyone returns to it after the money is spent. We start here, because every later piece is read against it.</w:t>
      </w:r>
    </w:p>
    <w:p>
      <w:pPr>
        <w:pStyle w:val="ListBullet"/>
      </w:pPr>
      <w:r>
        <w:t>The spending history. We build a picture of where capital has gone over recent years, split by purpose and by the unit that spent it, drawn from the client's own records rather than from anyone's memory of them.</w:t>
      </w:r>
    </w:p>
    <w:p>
      <w:pPr>
        <w:pStyle w:val="ListBullet"/>
      </w:pPr>
      <w:r>
        <w:t>The evaluation criteria. We test the hurdle rates, the payback thresholds, and the strategic judgments the client applies, and we check whether they hold steady across the business or drift from one unit to the next. My working assumption is that they drift, but the point is to show it, not to assert it.</w:t>
      </w:r>
    </w:p>
    <w:p>
      <w:pPr>
        <w:pStyle w:val="ListBullet"/>
      </w:pPr>
      <w:r>
        <w:t>The recommendation. We design a single method for ranking requests and a governance process for the decisions. This piece follows the first three and does not run ahead of them; a ranking method built before we understand the current one would be a guess.</w:t>
      </w:r>
    </w:p>
    <w:p>
      <w:pPr>
        <w:pStyle w:val="Heading2"/>
      </w:pPr>
      <w:r>
        <w:t>Open questions for the team</w:t>
      </w:r>
    </w:p>
    <w:p>
      <w:pPr>
        <w:pStyle w:val="ListBullet"/>
      </w:pPr>
      <w:r>
        <w:t>Which units are in scope. The letter frames the review across the whole business; before we map anything I want a written list of the units we are actually covering, so we do not spend a week documenting a division no one asked about.</w:t>
      </w:r>
    </w:p>
    <w:p>
      <w:pPr>
        <w:pStyle w:val="ListBullet"/>
      </w:pPr>
      <w:r>
        <w:t>Who owns the numbers on the client side. Deborah Jimenez will settle a single point of contact with Sandra Flores, the client's Chief Operating Officer, so our questions do not scatter across their finance staff and come back inconsistent.</w:t>
      </w:r>
    </w:p>
    <w:p>
      <w:pPr>
        <w:pStyle w:val="ListBullet"/>
      </w:pPr>
      <w:r>
        <w:t>How far back the history runs. We agree the number of years before we pull the data, not after, so we are not re-pulling it a month from now.</w:t>
      </w:r>
    </w:p>
    <w:p>
      <w:pPr>
        <w:pStyle w:val="Heading2"/>
      </w:pPr>
      <w:r>
        <w:t>Immediate steps</w:t>
      </w:r>
    </w:p>
    <w:p>
      <w:pPr>
        <w:pStyle w:val="ListBullet"/>
      </w:pPr>
      <w:r>
        <w:t>I circulate one consolidated data request this week and open a log of what we have asked for and what has come back.</w:t>
      </w:r>
    </w:p>
    <w:p>
      <w:pPr>
        <w:pStyle w:val="ListBullet"/>
      </w:pPr>
      <w:r>
        <w:t>Deborah Jimenez confirms data access and the client point of contact with Sandra Flores.</w:t>
      </w:r>
    </w:p>
    <w:p>
      <w:pPr>
        <w:pStyle w:val="ListBullet"/>
      </w:pPr>
      <w:r>
        <w:t>We hold our first internal working session at the end of next week. Bring what you have, including the gaps you have not yet closed.</w:t>
      </w:r>
    </w:p>
    <w:p>
      <w:r>
        <w:t>We send the client nothing that characterizes a result at this stage, because there is no result to characterize. We have a scope, a team, and a data request going out this week. I will keep the request log current, so that at any point the three of us know exactly what is still outstanding and who we are waiting 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Capital Allocation Review for Poole, Mcknight and Rush</dc:title>
  <dc:subject/>
  <dc:creator>Brenda Clayton</dc:creator>
  <cp:keywords/>
  <dc:description>generated by python-docx</dc:description>
  <cp:lastModifiedBy>Brenda Clayton</cp:lastModifiedBy>
  <cp:revision>1</cp:revision>
  <dcterms:created xsi:type="dcterms:W3CDTF">2019-02-25T09:00:00Z</dcterms:created>
  <dcterms:modified xsi:type="dcterms:W3CDTF">2019-02-25T09:00:00Z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