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Capital Allocation Review for Poole, Mcknight and Rush</w:t>
      </w:r>
    </w:p>
    <w:p>
      <w:r>
        <w:t>Prepared by Brenda Clayton, with Deborah Jimenez. This report covers the period since the last update and sets out where the review for Poole, Mcknight and Rush stands at its midpoint: what is finished, what comes next, and the two matters that could still move the outcome.</w:t>
      </w:r>
    </w:p>
    <w:p>
      <w:pPr>
        <w:pStyle w:val="Heading2"/>
      </w:pPr>
      <w:r>
        <w:t>Where the work stands</w:t>
      </w:r>
    </w:p>
    <w:p>
      <w:r>
        <w:t>We are about halfway through the engagement and on schedule. The current-state work is complete. We have documented how capital moves through the business, from the point a request is raised to the point it is funded, and we have assembled where the capital has actually gone over recent years. With that in hand we have started the assessment of how the client decides between competing requests. That assessment is the analytical core of the review and the piece the recommendation will rest on, and it is where most of the remaining effort will go. The work is being delivered within the fixed fee of $80,500, and nothing in the picture so far puts that at risk.</w:t>
      </w:r>
    </w:p>
    <w:p>
      <w:pPr>
        <w:pStyle w:val="Heading2"/>
      </w:pPr>
      <w:r>
        <w:t>Done this period</w:t>
      </w:r>
    </w:p>
    <w:p>
      <w:pPr>
        <w:pStyle w:val="ListBullet"/>
      </w:pPr>
      <w:r>
        <w:t>Completed the map of the capital process, from how a request is raised through funding and, where it happens, the review that follows once the money is spent. The last step turned out to be the weakest documented, and we have said so plainly rather than smooth it over.</w:t>
      </w:r>
    </w:p>
    <w:p>
      <w:pPr>
        <w:pStyle w:val="ListBullet"/>
      </w:pPr>
      <w:r>
        <w:t>Reconciled the spending history across all units, including the one whose records arrived late. The combined view is now whole and carries a firm total rather than a qualified one, so the analysis that follows rests on a complete base.</w:t>
      </w:r>
    </w:p>
    <w:p>
      <w:pPr>
        <w:pStyle w:val="ListBullet"/>
      </w:pPr>
      <w:r>
        <w:t>Documented the criteria in use across the business and where they diverge. The divergence is real and material: the same request would clear in one unit and stall in another, because the units do not weigh requests the same way or against the same thresholds.</w:t>
      </w:r>
    </w:p>
    <w:p>
      <w:pPr>
        <w:pStyle w:val="ListBullet"/>
      </w:pPr>
      <w:r>
        <w:t>Mapped the approval thresholds unit by unit, so the governance recommendation will rest on how decisions are actually made rather than on how the policy reads on paper.</w:t>
      </w:r>
    </w:p>
    <w:p>
      <w:pPr>
        <w:pStyle w:val="ListBullet"/>
      </w:pPr>
      <w:r>
        <w:t>Confirmed the units in scope with the client, so the review covers the business the engagement letter described and does not drift into parts of it we were not asked to examine.</w:t>
      </w:r>
    </w:p>
    <w:p>
      <w:pPr>
        <w:pStyle w:val="Heading2"/>
      </w:pPr>
      <w:r>
        <w:t>The period ahead</w:t>
      </w:r>
    </w:p>
    <w:p>
      <w:pPr>
        <w:pStyle w:val="ListBullet"/>
      </w:pPr>
      <w:r>
        <w:t>Design the method for ranking capital requests, so that one standard applies across the business rather than a different one in each unit. The method has to be plain enough that the client's own staff can apply it once we are gone.</w:t>
      </w:r>
    </w:p>
    <w:p>
      <w:pPr>
        <w:pStyle w:val="ListBullet"/>
      </w:pPr>
      <w:r>
        <w:t>Draft the governance process: who decides, at what threshold, on what record, and how a decision is revisited once the capital is committed. The weak post-investment step we found is part of what this has to correct.</w:t>
      </w:r>
    </w:p>
    <w:p>
      <w:pPr>
        <w:pStyle w:val="ListBullet"/>
      </w:pPr>
      <w:r>
        <w:t>Bring the first recommendations to the next working session, labeled as recommendations and kept separate from the findings that stand behind them, so that neither is mistaken for the other.</w:t>
      </w:r>
    </w:p>
    <w:p>
      <w:pPr>
        <w:pStyle w:val="Heading2"/>
      </w:pPr>
      <w:r>
        <w:t>Risks</w:t>
      </w:r>
    </w:p>
    <w:p>
      <w:r>
        <w:t>Two risks are worth naming, and both are being managed. The first was data: one unit's records arrived late and held up the spending history. They are now in, the history is reconciled, and that risk is closed. The second is more substantial. The criteria vary so widely across the business that a single ranking method will change how some units have long worked, and a method the client will not adopt is of no use. Deborah Jimenez is confirming where the real decision rights sit, so that the recommendation fits the client's actual authority rather than an idealized version of it. On cost there is no risk to report: the work remains within the fixed fee of $80,500, and the remaining effort is scoped against it.</w:t>
      </w:r>
    </w:p>
    <w:p>
      <w:r>
        <w:t>The next report will accompany the first recommendations. If anything in this one warrants discussion before then, Deborah Jimenez or I will make the time for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Capital Allocation Review for Poole, Mcknight and Rush</dc:title>
  <dc:subject/>
  <dc:creator>Brenda Clayton</dc:creator>
  <cp:keywords/>
  <dc:description>generated by python-docx</dc:description>
  <cp:lastModifiedBy>Brenda Clayton</cp:lastModifiedBy>
  <cp:revision>1</cp:revision>
  <dcterms:created xsi:type="dcterms:W3CDTF">2019-05-30T09:00:00Z</dcterms:created>
  <dcterms:modified xsi:type="dcterms:W3CDTF">2019-05-30T09:00:00Z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