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on the Capital Allocation Review for Poole, Mcknight and Rush. Minutes recorded by Deborah Jimenez.</w:t>
      </w:r>
    </w:p>
    <w:p>
      <w:pPr>
        <w:pStyle w:val="Heading2"/>
      </w:pPr>
      <w:r>
        <w:t>Present</w:t>
      </w:r>
    </w:p>
    <w:p>
      <w:pPr>
        <w:pStyle w:val="ListBullet"/>
      </w:pPr>
      <w:r>
        <w:t>Deborah Jimenez, Engagement Manager</w:t>
      </w:r>
    </w:p>
    <w:p>
      <w:pPr>
        <w:pStyle w:val="ListBullet"/>
      </w:pPr>
      <w:r>
        <w:t>Brenda Clayton, Consultant</w:t>
      </w:r>
    </w:p>
    <w:p>
      <w:pPr>
        <w:pStyle w:val="ListBullet"/>
      </w:pPr>
      <w:r>
        <w:t>Sandra Flores, Chief Operating Officer, Poole, Mcknight and Rush</w:t>
      </w:r>
    </w:p>
    <w:p>
      <w:pPr>
        <w:pStyle w:val="Heading2"/>
      </w:pPr>
      <w:r>
        <w:t>Discussion</w:t>
      </w:r>
    </w:p>
    <w:p>
      <w:r>
        <w:t>The session reviewed the current-state work. Brenda Clayton presented the process map: how a capital request is raised, evaluated, approved, and funded within the business. The map is largely complete. One step is thinly documented, the post-investment review, because it appears to happen rarely and without a standard record. Where the practice is inconsistent the map shows the range rather than a single path. Brenda Clayton walked the group through two units whose steps differ enough that a request of the same size follows a noticeably different path in each.</w:t>
      </w:r>
    </w:p>
    <w:p>
      <w:r>
        <w:t>The criteria used to weigh requests are not applied uniformly. Some units test a request against a hurdle rate; others do not. The spending threshold that sends a request to committee differs from one unit to the next. This is recorded as an observation. It is not yet a recommendation, and nothing in it should be read as one at this stage. Brenda Clayton noted that the divergence itself is the useful finding, since it explains why comparable requests fare differently depending on where they originate.</w:t>
      </w:r>
    </w:p>
    <w:p>
      <w:r>
        <w:t>Deborah Jimenez confirmed the units in scope with Sandra Flores, so the review covers the parts of the business the engagement letter named and no others. The team also agreed that data requests to the client will route through a single point of contact. Sending the same question to several people had already produced two answers that did not match, and a single route avoids that.</w:t>
      </w:r>
    </w:p>
    <w:p>
      <w:r>
        <w:t>The spending history is assembled for recent years and split by purpose and by unit. One unit's records are incomplete. Sandra Flores agreed to have the missing files sent over. Until they arrive, the combined history carries a gap in that unit and no firm total. Deborah Jimenez asked that the gap be marked plainly in any interim material so it is not mistaken for a complete figure.</w:t>
      </w:r>
    </w:p>
    <w:p>
      <w:r>
        <w:t>Sandra Flores asked for an early read on the size of the savings the review might find. Brenda Clayton declined to give one. The figure depends on the criteria work, which is not finished, and any number offered now would not hold. The group agreed to revisit the question once that work is drafted, rather than attach a figure the analysis cannot yet support.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t>Send the missing unit's capital records</w:t>
            </w:r>
          </w:p>
        </w:tc>
        <w:tc>
          <w:tcPr>
            <w:tcW w:type="dxa" w:w="2880"/>
          </w:tcPr>
          <w:p>
            <w:r>
              <w:t>Sandra Flores</w:t>
            </w:r>
          </w:p>
        </w:tc>
        <w:tc>
          <w:tcPr>
            <w:tcW w:type="dxa" w:w="2880"/>
          </w:tcPr>
          <w:p>
            <w:r>
              <w:t>Within two weeks</w:t>
            </w:r>
          </w:p>
        </w:tc>
      </w:tr>
      <w:tr>
        <w:tc>
          <w:tcPr>
            <w:tcW w:type="dxa" w:w="2880"/>
          </w:tcPr>
          <w:p>
            <w:r>
              <w:t>Complete the current-state process map, including the post-investment review step</w:t>
            </w:r>
          </w:p>
        </w:tc>
        <w:tc>
          <w:tcPr>
            <w:tcW w:type="dxa" w:w="2880"/>
          </w:tcPr>
          <w:p>
            <w:r>
              <w:t>Brenda Clayton</w:t>
            </w:r>
          </w:p>
        </w:tc>
        <w:tc>
          <w:tcPr>
            <w:tcW w:type="dxa" w:w="2880"/>
          </w:tcPr>
          <w:p>
            <w:r>
              <w:t>Before the next session</w:t>
            </w:r>
          </w:p>
        </w:tc>
      </w:tr>
      <w:tr>
        <w:tc>
          <w:tcPr>
            <w:tcW w:type="dxa" w:w="2880"/>
          </w:tcPr>
          <w:p>
            <w:r>
              <w:t>Reconcile the spending history once the missing records arrive</w:t>
            </w:r>
          </w:p>
        </w:tc>
        <w:tc>
          <w:tcPr>
            <w:tcW w:type="dxa" w:w="2880"/>
          </w:tcPr>
          <w:p>
            <w:r>
              <w:t>Brenda Clayton</w:t>
            </w:r>
          </w:p>
        </w:tc>
        <w:tc>
          <w:tcPr>
            <w:tcW w:type="dxa" w:w="2880"/>
          </w:tcPr>
          <w:p>
            <w:r>
              <w:t>Before the next session</w:t>
            </w:r>
          </w:p>
        </w:tc>
      </w:tr>
      <w:tr>
        <w:tc>
          <w:tcPr>
            <w:tcW w:type="dxa" w:w="2880"/>
          </w:tcPr>
          <w:p>
            <w:r>
              <w:t>Confirm the committee thresholds in force in each unit</w:t>
            </w:r>
          </w:p>
        </w:tc>
        <w:tc>
          <w:tcPr>
            <w:tcW w:type="dxa" w:w="2880"/>
          </w:tcPr>
          <w:p>
            <w:r>
              <w:t>Sandra Flores</w:t>
            </w:r>
          </w:p>
        </w:tc>
        <w:tc>
          <w:tcPr>
            <w:tcW w:type="dxa" w:w="2880"/>
          </w:tcPr>
          <w:p>
            <w:r>
              <w:t>Within two weeks</w:t>
            </w:r>
          </w:p>
        </w:tc>
      </w:tr>
      <w:tr>
        <w:tc>
          <w:tcPr>
            <w:tcW w:type="dxa" w:w="2880"/>
          </w:tcPr>
          <w:p>
            <w:r>
              <w:t>Set the next working session once the criteria assessment is drafted</w:t>
            </w:r>
          </w:p>
        </w:tc>
        <w:tc>
          <w:tcPr>
            <w:tcW w:type="dxa" w:w="2880"/>
          </w:tcPr>
          <w:p>
            <w:r>
              <w:t>Deborah Jimenez</w:t>
            </w:r>
          </w:p>
        </w:tc>
        <w:tc>
          <w:tcPr>
            <w:tcW w:type="dxa" w:w="2880"/>
          </w:tcPr>
          <w:p>
            <w:r>
              <w:t>On completion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Capital Allocation Review for Poole, Mcknight and Rush</dc:title>
  <dc:subject/>
  <dc:creator>Deborah Jimenez</dc:creator>
  <cp:keywords/>
  <dc:description>generated by python-docx</dc:description>
  <cp:lastModifiedBy>Deborah Jimenez</cp:lastModifiedBy>
  <cp:revision>1</cp:revision>
  <dcterms:created xsi:type="dcterms:W3CDTF">2019-05-10T09:00:00Z</dcterms:created>
  <dcterms:modified xsi:type="dcterms:W3CDTF">2019-05-10T09:00:00Z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