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Minutes of the working session on the Capital Allocation Review for Poole, Mcknight and Rush, recorded by Deborah Jimenez.</w:t>
      </w:r>
    </w:p>
    <w:p>
      <w:pPr>
        <w:pStyle w:val="Heading2"/>
      </w:pPr>
      <w:r>
        <w:t>Attendees</w:t>
      </w:r>
    </w:p>
    <w:p>
      <w:pPr>
        <w:pStyle w:val="ListBullet"/>
      </w:pPr>
      <w:r>
        <w:t>Deborah Jimenez, Engagement Manager</w:t>
      </w:r>
    </w:p>
    <w:p>
      <w:pPr>
        <w:pStyle w:val="ListBullet"/>
      </w:pPr>
      <w:r>
        <w:t>Brenda Clayton, Consultant</w:t>
      </w:r>
    </w:p>
    <w:p>
      <w:pPr>
        <w:pStyle w:val="ListBullet"/>
      </w:pPr>
      <w:r>
        <w:t>Sandra Flores, Chief Operating Officer, Poole, Mcknight and Rush</w:t>
      </w:r>
    </w:p>
    <w:p>
      <w:pPr>
        <w:pStyle w:val="Heading2"/>
      </w:pPr>
      <w:r>
        <w:t>Matters covered</w:t>
      </w:r>
    </w:p>
    <w:p>
      <w:r>
        <w:t>The session reviewed the draft recommendations. The engagement is in its final stretch, and the purpose was to test the proposals against how the client actually operates before we commit them to the final material. Brenda Clayton took the group through the draft in the order the client would use it, from how a request enters the process to how a funded project is reviewed afterward.</w:t>
      </w:r>
    </w:p>
    <w:p>
      <w:r>
        <w:t>Brenda Clayton presented the proposed method for ranking capital requests: a single hurdle rate applied across the business, a short strategic screen for fit, and a common request template so that every proposal reaches the committee in the same form. Sandra Flores agreed with the direction. She raised one concern, that a single hurdle rate may sit too high for maintenance spending that keeps existing operations running, and asked whether that category should be handled separately. Brenda Clayton agreed to carve out a distinct route for maintenance and compliance spending below a set size, so that necessary upkeep is not measured against the same bar as discretionary growth.</w:t>
      </w:r>
    </w:p>
    <w:p>
      <w:r>
        <w:t>On governance, the draft proposes a standing capital committee, a fixed threshold above which a request must go to it, and a post-investment review on a set schedule. Sandra Flores questioned the threshold as drafted; at the level proposed the committee would meet on too many small items and lose the attention the large ones need. The group agreed to raise the threshold and to let units approve smaller requests within a delegated limit, with the committee reserved for the decisions that move the number. The post-investment review, which the current-state work found was done rarely and without a standard record, will be put on a fixed schedule with a short standard form.</w:t>
      </w:r>
    </w:p>
    <w:p>
      <w:r>
        <w:t>The group also discussed how the new process would be introduced. Sandra Flores noted that a template and a committee only work if the units actually use them, and asked that the final recommendation say plainly how the change would be rolled out and who would own it inside the business. Brenda Clayton agreed to add a short section on adoption, covering the first cycle under the new process and who confirms that the units are following it.</w:t>
      </w:r>
    </w:p>
    <w:p>
      <w:r>
        <w:t>Two points remain open before the final deliverable, and both were assigned below. Nothing else in the draft drew objection, and the shape of the recommendation is settled.</w:t>
      </w:r>
    </w:p>
    <w:p>
      <w:pPr>
        <w:pStyle w:val="Heading2"/>
      </w:pPr>
      <w:r>
        <w:t>Follow-ups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Add a separate route for maintenance and compliance spending below the set size</w:t>
            </w:r>
          </w:p>
        </w:tc>
        <w:tc>
          <w:tcPr>
            <w:tcW w:type="dxa" w:w="2880"/>
          </w:tcPr>
          <w:p>
            <w:r>
              <w:t>Brenda Clayton</w:t>
            </w:r>
          </w:p>
        </w:tc>
        <w:tc>
          <w:tcPr>
            <w:tcW w:type="dxa" w:w="2880"/>
          </w:tcPr>
          <w:p>
            <w:r>
              <w:t>This week</w:t>
            </w:r>
          </w:p>
        </w:tc>
      </w:tr>
      <w:tr>
        <w:tc>
          <w:tcPr>
            <w:tcW w:type="dxa" w:w="2880"/>
          </w:tcPr>
          <w:p>
            <w:r>
              <w:t>Set the committee threshold and the delegated approval limit for units</w:t>
            </w:r>
          </w:p>
        </w:tc>
        <w:tc>
          <w:tcPr>
            <w:tcW w:type="dxa" w:w="2880"/>
          </w:tcPr>
          <w:p>
            <w:r>
              <w:t>Sandra Flores</w:t>
            </w:r>
          </w:p>
        </w:tc>
        <w:tc>
          <w:tcPr>
            <w:tcW w:type="dxa" w:w="2880"/>
          </w:tcPr>
          <w:p>
            <w:r>
              <w:t>Before final delivery</w:t>
            </w:r>
          </w:p>
        </w:tc>
      </w:tr>
      <w:tr>
        <w:tc>
          <w:tcPr>
            <w:tcW w:type="dxa" w:w="2880"/>
          </w:tcPr>
          <w:p>
            <w:r>
              <w:t>Confirm the committee membership and how often it meets</w:t>
            </w:r>
          </w:p>
        </w:tc>
        <w:tc>
          <w:tcPr>
            <w:tcW w:type="dxa" w:w="2880"/>
          </w:tcPr>
          <w:p>
            <w:r>
              <w:t>Sandra Flores</w:t>
            </w:r>
          </w:p>
        </w:tc>
        <w:tc>
          <w:tcPr>
            <w:tcW w:type="dxa" w:w="2880"/>
          </w:tcPr>
          <w:p>
            <w:r>
              <w:t>Before final delivery</w:t>
            </w:r>
          </w:p>
        </w:tc>
      </w:tr>
      <w:tr>
        <w:tc>
          <w:tcPr>
            <w:tcW w:type="dxa" w:w="2880"/>
          </w:tcPr>
          <w:p>
            <w:r>
              <w:t>Fold the agreed changes into the final recommendation</w:t>
            </w:r>
          </w:p>
        </w:tc>
        <w:tc>
          <w:tcPr>
            <w:tcW w:type="dxa" w:w="2880"/>
          </w:tcPr>
          <w:p>
            <w:r>
              <w:t>Brenda Clayton</w:t>
            </w:r>
          </w:p>
        </w:tc>
        <w:tc>
          <w:tcPr>
            <w:tcW w:type="dxa" w:w="2880"/>
          </w:tcPr>
          <w:p>
            <w:r>
              <w:t>Before final delivery</w:t>
            </w:r>
          </w:p>
        </w:tc>
      </w:tr>
      <w:tr>
        <w:tc>
          <w:tcPr>
            <w:tcW w:type="dxa" w:w="2880"/>
          </w:tcPr>
          <w:p>
            <w:r>
              <w:t>Circulate the final draft to the client ahead of the closing review</w:t>
            </w:r>
          </w:p>
        </w:tc>
        <w:tc>
          <w:tcPr>
            <w:tcW w:type="dxa" w:w="2880"/>
          </w:tcPr>
          <w:p>
            <w:r>
              <w:t>Deborah Jimenez</w:t>
            </w:r>
          </w:p>
        </w:tc>
        <w:tc>
          <w:tcPr>
            <w:tcW w:type="dxa" w:w="2880"/>
          </w:tcPr>
          <w:p>
            <w:r>
              <w:t>On completion</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Capital Allocation Review for Poole, Mcknight and Rush</dc:title>
  <dc:subject/>
  <dc:creator>Deborah Jimenez</dc:creator>
  <cp:keywords/>
  <dc:description>generated by python-docx</dc:description>
  <cp:lastModifiedBy>Deborah Jimenez</cp:lastModifiedBy>
  <cp:revision>1</cp:revision>
  <dcterms:created xsi:type="dcterms:W3CDTF">2019-08-09T09:00:00Z</dcterms:created>
  <dcterms:modified xsi:type="dcterms:W3CDTF">2019-08-09T09:00:00Z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