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Jason Torres and the Scott, Smith and Edwards engagement team</w:t>
        <w:br/>
        <w:t>From: Deborah Allen</w:t>
        <w:br/>
        <w:t>Re: Digital operating model for Scott, Smith and Edwards — how we are setting up the work</w:t>
      </w:r>
    </w:p>
    <w:p>
      <w:r>
        <w:t>We started on February 16, 2011, so this note sets down what we are answering and how the first weeks divide. The client's problem is a specific one. The web channel now carries a real share of the orders at Scott, Smith and Edwards, but the organization behind it was built when the channel was a side experiment, and the seams show: orders are taken in one place and filled in another, customer questions land on a team that cannot see the order, and no single manager owns the channel from end to end. Our job is to describe that plainly, design the operating model the channel now needs, and lay out how to get there. Melissa Johnson, the General Manager, is our sponsor on the client side and the person who will carry the recommendation to her leadership.</w:t>
      </w:r>
    </w:p>
    <w:p>
      <w:pPr>
        <w:pStyle w:val="Heading2"/>
      </w:pPr>
      <w:r>
        <w:t>How the work divides</w:t>
      </w:r>
    </w:p>
    <w:p>
      <w:pPr>
        <w:pStyle w:val="ListBullet"/>
      </w:pPr>
      <w:r>
        <w:t>Current-state map. I own this. We trace one order from the moment a customer places it online to the moment it ships, and we mark every hand-off, every system it passes through, and every point where someone keys the same information a second time.</w:t>
      </w:r>
    </w:p>
    <w:p>
      <w:pPr>
        <w:pStyle w:val="ListBullet"/>
      </w:pPr>
      <w:r>
        <w:t>The cost of running it today. I build a plain view of what the channel costs to operate across the functions that touch it, so that later, when we propose to move work or ownership, the saving or the cost is a number the client already recognizes.</w:t>
      </w:r>
    </w:p>
    <w:p>
      <w:pPr>
        <w:pStyle w:val="ListBullet"/>
      </w:pPr>
      <w:r>
        <w:t>Ownership and decisions. We map who decides what across marketing, operations, and the technology group: who sets the online assortment, who owns the delivery promise, who answers for the channel's result at the end of the month. This is where I expect the real problem to sit.</w:t>
      </w:r>
    </w:p>
    <w:p>
      <w:pPr>
        <w:pStyle w:val="ListBullet"/>
      </w:pPr>
      <w:r>
        <w:t>Systems and data. Jason Torres and I inventory the systems that hold order and customer data and how they pass it between one another. We are documenting what exists, not recommending a replacement; software selection is outside our scope and stays there.</w:t>
      </w:r>
    </w:p>
    <w:p>
      <w:pPr>
        <w:pStyle w:val="Heading2"/>
      </w:pPr>
      <w:r>
        <w:t>The first two weeks</w:t>
      </w:r>
    </w:p>
    <w:p>
      <w:pPr>
        <w:pStyle w:val="ListBullet"/>
      </w:pPr>
      <w:r>
        <w:t>I send the client a single, itemized data request this week: the channel organization chart, the last year of order and cost figures for the online business, and a short list of the systems involved. One request, not a trickle of them.</w:t>
      </w:r>
    </w:p>
    <w:p>
      <w:pPr>
        <w:pStyle w:val="ListBullet"/>
      </w:pPr>
      <w:r>
        <w:t>We agree the interview list before we ask for a single calendar slot, so we are not renegotiating access once we are on site. I will bring a draft to our first team meeting.</w:t>
      </w:r>
    </w:p>
    <w:p>
      <w:pPr>
        <w:pStyle w:val="ListBullet"/>
      </w:pPr>
      <w:r>
        <w:t>Jason Torres confirms the on-site dates with Melissa Johnson's office and holds a half day of slack for the interviews that always move.</w:t>
      </w:r>
    </w:p>
    <w:p>
      <w:pPr>
        <w:pStyle w:val="ListBullet"/>
      </w:pPr>
      <w:r>
        <w:t>Nothing about a target structure goes to anyone at the client until the current-state map reconciles. An early picture is wrong often enough that showing a wrong one is hard to take back.</w:t>
      </w:r>
    </w:p>
    <w:p>
      <w:r>
        <w:t>My own read, before we have gathered a thing, is that this will prove to be a question of ownership more than of systems. The technology is stitched together, but companies live with stitched-together systems; what they cannot live with is no one being able to say who owns the channel's number at the end of the month. I would like us to test that early, because if it holds it shapes everything we design. If it does not, we will know that early and can design for what we actually find.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Digital Operating Model for Scott, Smith and Edwards</dc:title>
  <dc:subject/>
  <dc:creator>Deborah Allen</dc:creator>
  <cp:keywords/>
  <dc:description>generated by python-docx</dc:description>
  <cp:lastModifiedBy>Deborah Allen</cp:lastModifiedBy>
  <cp:revision>1</cp:revision>
  <dcterms:created xsi:type="dcterms:W3CDTF">2011-02-19T09:00:00Z</dcterms:created>
  <dcterms:modified xsi:type="dcterms:W3CDTF">2011-02-19T09:00:00Z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