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Status Report: Digital Operating Model for Scott, Smith and Edwards</w:t>
      </w:r>
    </w:p>
    <w:p>
      <w:r>
        <w:t>Prepared by Deborah Allen, Consultant, Advisory, for the client leadership team. This report answers four questions: where the operating model work stands now that we are about halfway through, what the team completed since the last update, what the second half will produce, and what could get in the way. I have kept the account plain and left my own read to a short note at the end.</w:t>
      </w:r>
    </w:p>
    <w:p>
      <w:pPr>
        <w:pStyle w:val="Heading2"/>
      </w:pPr>
      <w:r>
        <w:t>Where the work stands</w:t>
      </w:r>
    </w:p>
    <w:p>
      <w:r>
        <w:t>The engagement was set up to answer one question for the leadership team at Scott, Smith and Edwards: what operating model would let the firm deliver its core services at a lower cost to serve without giving up the responsiveness clients count on. The first half of the work has answered the front of that question by establishing how the organization runs today. We now hold an agreed picture of the current state, and the work turns from describing the business to designing the model that should replace parts of it. In plain terms, the assessment is closed and the design is open. Nothing we have found so far has changed the scope set out in the engagement letter or the timeline we planned around. On cost, the work is running within the fixed fee of $106,000 we set at the start, and the effort spent lines up with being about halfway through.</w:t>
      </w:r>
    </w:p>
    <w:p>
      <w:pPr>
        <w:pStyle w:val="Heading2"/>
      </w:pPr>
      <w:r>
        <w:t>Finished this period</w:t>
      </w:r>
    </w:p>
    <w:p>
      <w:r>
        <w:t>Since the last update the team closed out the current-state assessment and made a start on the design. The pieces that reached a stopping point this period are these:</w:t>
      </w:r>
    </w:p>
    <w:p>
      <w:pPr>
        <w:pStyle w:val="ListBullet"/>
      </w:pPr>
      <w:r>
        <w:t>The core service processes are mapped end to end across the functions in scope. Cycle times and hand-offs were taken from the transaction records where we could get them, not from interviews alone, so the map reflects how the work actually moves and not only how people describe it.</w:t>
      </w:r>
    </w:p>
    <w:p>
      <w:pPr>
        <w:pStyle w:val="ListBullet"/>
      </w:pPr>
      <w:r>
        <w:t>The leadership and front-line interviews are complete. Jason Torres sat in on the executive sessions, and between his read and ours we have a clear sense of where the leadership team wants the model to change and where it wants to be left alone.</w:t>
      </w:r>
    </w:p>
    <w:p>
      <w:pPr>
        <w:pStyle w:val="ListBullet"/>
      </w:pPr>
      <w:r>
        <w:t>A baseline of the cost to serve is built for the in-scope work and reconciled to the finance figures. That gives us a number both sides accept, which the design options can then be measured against instead of argued over.</w:t>
      </w:r>
    </w:p>
    <w:p>
      <w:pPr>
        <w:pStyle w:val="ListBullet"/>
      </w:pPr>
      <w:r>
        <w:t>A first set of design principles is drafted and was tested in a short working session with the client team. It held up well enough to build on, with a few points sent back for rework.</w:t>
      </w:r>
    </w:p>
    <w:p>
      <w:pPr>
        <w:pStyle w:val="Heading2"/>
      </w:pPr>
      <w:r>
        <w:t>Planned for the coming weeks</w:t>
      </w:r>
    </w:p>
    <w:p>
      <w:r>
        <w:t>The second half of the engagement turns the assessment into a design the leadership team can decide on. The main pieces of that work are set out below.</w:t>
      </w:r>
    </w:p>
    <w:p>
      <w:pPr>
        <w:pStyle w:val="ListBullet"/>
      </w:pPr>
      <w:r>
        <w:t>Develop the target operating model options. Each will come with the structure and roles it implies, the way work would flow through it, and a plain statement of what it would cost to run. We expect this to produce a short list of options for the leadership team to weigh, not a single answer handed down.</w:t>
      </w:r>
    </w:p>
    <w:p>
      <w:pPr>
        <w:pStyle w:val="ListBullet"/>
      </w:pPr>
      <w:r>
        <w:t>Size the difference. Every option will be measured against the cost-to-serve baseline, so the choice can rest on figures the team has already agreed, not on preference.</w:t>
      </w:r>
    </w:p>
    <w:p>
      <w:pPr>
        <w:pStyle w:val="ListBullet"/>
      </w:pPr>
      <w:r>
        <w:t>Lay out the path for the option the client selects: the order the changes would happen in, what each stage asks of the organization, and the decisions leadership would need to make along the way.</w:t>
      </w:r>
    </w:p>
    <w:p>
      <w:pPr>
        <w:pStyle w:val="ListBullet"/>
      </w:pPr>
      <w:r>
        <w:t>Bring the options to a design review that Jason Torres will lead, and fold the leadership team's direction back into a single recommended model.</w:t>
      </w:r>
    </w:p>
    <w:p>
      <w:pPr>
        <w:pStyle w:val="Heading2"/>
      </w:pPr>
      <w:r>
        <w:t>Open items and risks</w:t>
      </w:r>
    </w:p>
    <w:p>
      <w:r>
        <w:t>A few things could slow the second half, and one decision sits with the client. They are worth naming while there is time to act on them.</w:t>
      </w:r>
    </w:p>
    <w:p>
      <w:pPr>
        <w:pStyle w:val="ListBullet"/>
      </w:pPr>
      <w:r>
        <w:t>Cost detail for one of the in-scope functions is still incomplete. We have enough to map the processes but not yet the full cost picture. If it does not come through in the next couple of weeks, the savings estimate for that function will carry a wider range than the others, and I will say so plainly when we present it.</w:t>
      </w:r>
    </w:p>
    <w:p>
      <w:pPr>
        <w:pStyle w:val="ListBullet"/>
      </w:pPr>
      <w:r>
        <w:t>Access to a few of the operating sites came later than we asked for, so the read on those sites is thinner. We do not think it changes the design, and we will confirm that before the review, not carry an assumption into it.</w:t>
      </w:r>
    </w:p>
    <w:p>
      <w:pPr>
        <w:pStyle w:val="ListBullet"/>
      </w:pPr>
      <w:r>
        <w:t>The design needs one decision from leadership: how far to standardize across the business units, and where to leave room for local difference. We will bring a recommendation, but the direction is the client's to set, and an early steer would help us keep the design focused.</w:t>
      </w:r>
    </w:p>
    <w:p>
      <w:pPr>
        <w:pStyle w:val="Heading2"/>
      </w:pPr>
      <w:r>
        <w:t>A closing note</w:t>
      </w:r>
    </w:p>
    <w:p>
      <w:r>
        <w:t>My own read is short. The assessment gave us a solid base that both sides agree on, and the risk from here is less about the analysis than about the pace of decisions. The model options will be ready on schedule. What will determine whether the second half stays on track is how quickly the leadership team settles the standardization question, and I will flag it again next time if it is still open. If it would help, Jason Torres and I are glad to walk the executive team through the current thinking before the formal review. Questions on this report are best sent to me directly.</w:t>
      </w:r>
    </w:p>
    <w:p>
      <w:r>
        <w:t>Deborah Allen, Consultant, Advisory</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Digital Operating Model for Scott, Smith and Edwards</dc:title>
  <dc:subject/>
  <dc:creator>Deborah Allen</dc:creator>
  <cp:keywords/>
  <dc:description>generated by python-docx</dc:description>
  <cp:lastModifiedBy>Deborah Allen</cp:lastModifiedBy>
  <cp:revision>1</cp:revision>
  <dcterms:created xsi:type="dcterms:W3CDTF">2011-04-03T09:00:00Z</dcterms:created>
  <dcterms:modified xsi:type="dcterms:W3CDTF">2011-04-03T09:00:00Z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